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widowControl w:val="false"/>
        <w:spacing w:before="0" w:after="0" w:line="240"/>
        <w:ind w:right="0" w:left="0" w:firstLine="0"/>
        <w:jc w:val="center"/>
        <w:rPr>
          <w:rFonts w:ascii="Arial" w:hAnsi="Arial" w:cs="Arial" w:eastAsia="Arial"/>
          <w:b/>
          <w:color w:val="00000A"/>
          <w:spacing w:val="0"/>
          <w:position w:val="0"/>
          <w:sz w:val="24"/>
          <w:shd w:fill="FFFFFF" w:val="clear"/>
        </w:rPr>
      </w:pPr>
      <w:r>
        <w:rPr>
          <w:rFonts w:ascii="Arial" w:hAnsi="Arial" w:cs="Arial" w:eastAsia="Arial"/>
          <w:b/>
          <w:color w:val="000000"/>
          <w:spacing w:val="0"/>
          <w:position w:val="0"/>
          <w:sz w:val="24"/>
          <w:shd w:fill="FFFFFF" w:val="clear"/>
        </w:rPr>
        <w:t xml:space="preserve">COMANDO DO 1º DISTRITO NAVAL</w:t>
      </w:r>
    </w:p>
    <w:p>
      <w:pPr>
        <w:widowControl w:val="false"/>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b/>
          <w:color w:val="000000"/>
          <w:spacing w:val="0"/>
          <w:position w:val="0"/>
          <w:sz w:val="20"/>
          <w:shd w:fill="auto" w:val="clear"/>
        </w:rPr>
        <w:t xml:space="preserve">PREGÃO Nº 01/2020</w:t>
      </w:r>
    </w:p>
    <w:p>
      <w:pPr>
        <w:widowControl w:val="false"/>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b/>
          <w:color w:val="000000"/>
          <w:spacing w:val="0"/>
          <w:position w:val="0"/>
          <w:sz w:val="20"/>
          <w:shd w:fill="auto" w:val="clear"/>
        </w:rPr>
        <w:t xml:space="preserve">(Processo Administrativo n.° 62002.000806/2020-97)</w:t>
      </w:r>
    </w:p>
    <w:p>
      <w:pPr>
        <w:keepNext w:val="true"/>
        <w:keepLines w:val="true"/>
        <w:widowControl w:val="false"/>
        <w:numPr>
          <w:ilvl w:val="0"/>
          <w:numId w:val="3"/>
        </w:numPr>
        <w:spacing w:before="480" w:after="0" w:line="276"/>
        <w:ind w:right="0" w:left="57" w:firstLine="113"/>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DO OBJETO</w:t>
      </w:r>
    </w:p>
    <w:p>
      <w:pPr>
        <w:widowControl w:val="false"/>
        <w:numPr>
          <w:ilvl w:val="0"/>
          <w:numId w:val="3"/>
        </w:numPr>
        <w:suppressAutoHyphens w:val="true"/>
        <w:spacing w:before="0" w:after="0" w:line="240"/>
        <w:ind w:right="0" w:left="716" w:hanging="432"/>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Contratação de empresa para a prestação de serviço de seguros para um total de </w:t>
      </w:r>
      <w:r>
        <w:rPr>
          <w:rFonts w:ascii="Arial" w:hAnsi="Arial" w:cs="Arial" w:eastAsia="Arial"/>
          <w:color w:val="000000"/>
          <w:spacing w:val="0"/>
          <w:position w:val="0"/>
          <w:sz w:val="20"/>
          <w:shd w:fill="FFFFFF" w:val="clear"/>
        </w:rPr>
        <w:t xml:space="preserve">83 veículos,</w:t>
      </w:r>
      <w:r>
        <w:rPr>
          <w:rFonts w:ascii="Arial" w:hAnsi="Arial" w:cs="Arial" w:eastAsia="Arial"/>
          <w:color w:val="00000A"/>
          <w:spacing w:val="0"/>
          <w:position w:val="0"/>
          <w:sz w:val="20"/>
          <w:shd w:fill="FFFFFF" w:val="clear"/>
        </w:rPr>
        <w:t xml:space="preserve"> pertencentes ao Comando do 1º Distrito Naval, bem como aqueles que forem adquiridos, com cobertura em todo o território Nacional, conforme condições, quantidades e exigências estabelecidas neste instrumento.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FFFFFF" w:val="clear"/>
        </w:rPr>
      </w:pPr>
    </w:p>
    <w:p>
      <w:pPr>
        <w:widowControl w:val="false"/>
        <w:spacing w:before="0" w:after="0" w:line="240"/>
        <w:ind w:right="0" w:left="0" w:firstLine="0"/>
        <w:jc w:val="center"/>
        <w:rPr>
          <w:rFonts w:ascii="Arial" w:hAnsi="Arial" w:cs="Arial" w:eastAsia="Arial"/>
          <w:b/>
          <w:color w:val="00000A"/>
          <w:spacing w:val="0"/>
          <w:position w:val="0"/>
          <w:sz w:val="24"/>
          <w:shd w:fill="auto" w:val="clear"/>
        </w:rPr>
      </w:pPr>
      <w:r>
        <w:rPr>
          <w:rFonts w:ascii="Arial" w:hAnsi="Arial" w:cs="Arial" w:eastAsia="Arial"/>
          <w:b/>
          <w:color w:val="00000A"/>
          <w:spacing w:val="0"/>
          <w:position w:val="0"/>
          <w:sz w:val="24"/>
          <w:shd w:fill="auto" w:val="clear"/>
        </w:rPr>
        <w:t xml:space="preserve">MAPA COMPARATIVO DE PREÇOS</w:t>
      </w:r>
    </w:p>
    <w:p>
      <w:pPr>
        <w:widowControl w:val="false"/>
        <w:suppressAutoHyphens w:val="tru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TABELA 1 </w:t>
      </w:r>
      <w:r>
        <w:rPr>
          <w:rFonts w:ascii="Times New Roman" w:hAnsi="Times New Roman" w:cs="Times New Roman" w:eastAsia="Times New Roman"/>
          <w:color w:val="00000A"/>
          <w:spacing w:val="0"/>
          <w:position w:val="0"/>
          <w:sz w:val="16"/>
          <w:shd w:fill="auto" w:val="clear"/>
        </w:rPr>
        <w:t xml:space="preserve">–</w:t>
      </w:r>
      <w:r>
        <w:rPr>
          <w:rFonts w:ascii="Times New Roman" w:hAnsi="Times New Roman" w:cs="Times New Roman" w:eastAsia="Times New Roman"/>
          <w:color w:val="00000A"/>
          <w:spacing w:val="0"/>
          <w:position w:val="0"/>
          <w:sz w:val="16"/>
          <w:shd w:fill="auto" w:val="clear"/>
        </w:rPr>
        <w:t xml:space="preserve"> VALORES DO SEGURO (PR</w:t>
      </w:r>
      <w:r>
        <w:rPr>
          <w:rFonts w:ascii="Times New Roman" w:hAnsi="Times New Roman" w:cs="Times New Roman" w:eastAsia="Times New Roman"/>
          <w:color w:val="00000A"/>
          <w:spacing w:val="0"/>
          <w:position w:val="0"/>
          <w:sz w:val="16"/>
          <w:shd w:fill="auto" w:val="clear"/>
        </w:rPr>
        <w:t xml:space="preserve">ÊMIO)</w:t>
      </w:r>
    </w:p>
    <w:tbl>
      <w:tblPr/>
      <w:tblGrid>
        <w:gridCol w:w="563"/>
        <w:gridCol w:w="462"/>
        <w:gridCol w:w="3738"/>
        <w:gridCol w:w="962"/>
        <w:gridCol w:w="625"/>
        <w:gridCol w:w="675"/>
        <w:gridCol w:w="1023"/>
        <w:gridCol w:w="1196"/>
      </w:tblGrid>
      <w:tr>
        <w:trPr>
          <w:trHeight w:val="1" w:hRule="atLeast"/>
          <w:jc w:val="left"/>
        </w:trPr>
        <w:tc>
          <w:tcPr>
            <w:tcW w:w="563"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GRUPO</w:t>
            </w:r>
          </w:p>
        </w:tc>
        <w:tc>
          <w:tcPr>
            <w:tcW w:w="462"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Times New Roman" w:hAnsi="Times New Roman" w:cs="Times New Roman" w:eastAsia="Times New Roman"/>
                <w:color w:val="000000"/>
                <w:spacing w:val="0"/>
                <w:position w:val="0"/>
                <w:sz w:val="16"/>
                <w:shd w:fill="auto" w:val="clear"/>
              </w:rPr>
            </w:pPr>
            <w:r>
              <w:rPr>
                <w:rFonts w:ascii="Times New Roman" w:hAnsi="Times New Roman" w:cs="Times New Roman" w:eastAsia="Times New Roman"/>
                <w:color w:val="000000"/>
                <w:spacing w:val="0"/>
                <w:position w:val="0"/>
                <w:sz w:val="16"/>
                <w:shd w:fill="auto" w:val="clear"/>
              </w:rPr>
              <w:t xml:space="preserve">ITEM</w:t>
            </w:r>
          </w:p>
          <w:p>
            <w:pPr>
              <w:widowControl w:val="false"/>
              <w:spacing w:before="0" w:after="0" w:line="240"/>
              <w:ind w:right="0" w:left="0" w:firstLine="0"/>
              <w:jc w:val="left"/>
              <w:rPr>
                <w:spacing w:val="0"/>
                <w:position w:val="0"/>
                <w:shd w:fill="auto" w:val="clear"/>
              </w:rPr>
            </w:pPr>
          </w:p>
        </w:tc>
        <w:tc>
          <w:tcPr>
            <w:tcW w:w="3738"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DESCRIÇÃO/ESPECIFICAÇÃO</w:t>
            </w:r>
          </w:p>
        </w:tc>
        <w:tc>
          <w:tcPr>
            <w:tcW w:w="962"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ANO/MODELO</w:t>
            </w:r>
          </w:p>
        </w:tc>
        <w:tc>
          <w:tcPr>
            <w:tcW w:w="625"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QUANT</w:t>
            </w:r>
          </w:p>
        </w:tc>
        <w:tc>
          <w:tcPr>
            <w:tcW w:w="675"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BONUS</w:t>
            </w:r>
          </w:p>
        </w:tc>
        <w:tc>
          <w:tcPr>
            <w:tcW w:w="1023"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PRÊMIO</w:t>
            </w:r>
          </w:p>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UNITÁRIO</w:t>
            </w:r>
          </w:p>
        </w:tc>
        <w:tc>
          <w:tcPr>
            <w:tcW w:w="1196"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PRÊMIO</w:t>
            </w:r>
          </w:p>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POR ITEM</w:t>
            </w:r>
          </w:p>
        </w:tc>
      </w:tr>
      <w:tr>
        <w:trPr>
          <w:trHeight w:val="1" w:hRule="atLeast"/>
          <w:jc w:val="left"/>
        </w:trPr>
        <w:tc>
          <w:tcPr>
            <w:tcW w:w="5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GRUPO</w:t>
            </w:r>
            <w:r>
              <w:rPr>
                <w:rFonts w:ascii="Arial" w:hAnsi="Arial" w:cs="Arial" w:eastAsia="Arial"/>
                <w:color w:val="00000A"/>
                <w:spacing w:val="0"/>
                <w:position w:val="0"/>
                <w:sz w:val="16"/>
                <w:shd w:fill="auto" w:val="clear"/>
              </w:rPr>
              <w:t xml:space="preserve">01</w:t>
            </w: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NISSAN FRONTIER</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2018/2018</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R$ 4.246,16</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R$ 4.246,16</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L-200 TRITON HPE 3.2 TB-IC MEC. 4P D</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R$ 3.590,20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R$ 7.180,40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03</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 4 LOUNGE</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2018/2019</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R$ 2.751,18</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R$ 2.751,18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NISSAN SENTRA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2016/2017</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R$ 2.172,87</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R$ 2.172,87</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05</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COROLLA GLI UPER</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2017/2018</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R$ 2.743,91</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R$ 2.743,91</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06</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KIA  CADENZA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R$ 2.035,88</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R$ 2.035,88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07</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FORD FUSION</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2011/2012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R$ 2.157,33</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R$ 2.157,33</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08</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PEUGEOT 408 ALURE BVA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2014/2015</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R$ 2.311,66</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R$ 2.311,66</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09</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PEUGEOT 408 ALLURE BVA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2015</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08</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R$ 2.311,66</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R$ 18.488,48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10</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FORD FOCUS 2L (FLEX)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2010/2011</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06</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R$ 1.950,00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R$ 11.700,00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11</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FORD FOCUS 2L FC (FLEX)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2011/2011</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03</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R$ 1.950,00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R$ 5.850,00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12</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FORD FOCUS 2L (FLEX)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06</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R$ 1.950,00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R$ 11.700,00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13</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FORD FOCUS 2L FC (FLEX)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05</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R$ 1.950,00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R$ 9.750,00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14</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C4 PALLAS GLX 2.0 16V (AUT.) 4P 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2011/2012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 </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R$ 2.347,04</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R$ 4.694,08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15</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C4 PALLAS GLX 2.0 16V (AUT.) 4P 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09</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R$2.239,04</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R$ 20.151,36</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16</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PEUGEOT 307</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2007/2008</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R$ 2.175,12</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R$ 2.175,12</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17</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NISSAN VERSA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2019</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R$ 2.175,00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R$ 4.350,00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18</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FIESTA SEDAN (KINETIC) 1.0 8V(FLEX) 4</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05</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R$ 2.019,63</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R$ 10.098,15</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19</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FIESTA HATCH (KINETIC) 1.0 8V(FLEX) 4</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R$ 2.019,63</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R$ 2.019,63</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COROLLA SEDAN SE-G 1.8 16V(N.SERIE) AU</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2006/2007</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R$ 2.520,00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R$ 5.040,00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21</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GM VECTRA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1999</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R$ 1.607,10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R$ 1.607,10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22</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FIAT SIENA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2006</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R$ 1.479,85</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R$ 1.479,85</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23</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GM MONTANA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2004</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R$ 1.857,54</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R$ 1.857,54</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24</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VW/GOL 1.8 / 5 PASSAGEIROS</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2001/2002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R$ 1.653,00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R$ 1.653,00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8681" w:type="dxa"/>
            <w:gridSpan w:val="7"/>
            <w:tcBorders>
              <w:top w:val="single" w:color="000001" w:sz="2"/>
              <w:left w:val="single" w:color="000001" w:sz="2"/>
              <w:bottom w:val="single" w:color="000001" w:sz="2"/>
              <w:right w:val="single" w:color="000001" w:sz="2"/>
            </w:tcBorders>
            <w:shd w:color="000000" w:fill="999999"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TOTAL DO GRUPO 01                                                                                                                               R$ 138.213,70</w:t>
            </w:r>
          </w:p>
        </w:tc>
      </w:tr>
      <w:tr>
        <w:trPr>
          <w:trHeight w:val="1" w:hRule="atLeast"/>
          <w:jc w:val="left"/>
        </w:trPr>
        <w:tc>
          <w:tcPr>
            <w:tcW w:w="5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center"/>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GRUPO02</w:t>
            </w: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25</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ÔNIBUS VW MASCARELLO GRANVIA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2005/2005</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R$ 4.301,60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R$ 4.301,60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26</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ÔNIBUS VW COMIL CAMPIONE</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2012/2012</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R$ 11.510,81</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R$ 11.510,81</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27</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MICRO ÔNIBUS VOLARE - W9</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2015</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R$ 5.655,54</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R$ 11.311,08</w:t>
            </w:r>
          </w:p>
        </w:tc>
      </w:tr>
      <w:tr>
        <w:trPr>
          <w:trHeight w:val="200" w:hRule="auto"/>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28</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MICRO ÔNIBUS MERCEDES</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2017/2018</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R$ 8.422,90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R$ 8.422,90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29</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RENAULT MASTER</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2017/2018</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R$ 3.509,37</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R$ 14.037,48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30</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FIAT DUCATO MINIBUS </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2012/2013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05</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R$ 3.106,19</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R$ 15.530,95</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31</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CITROEN JUMPER M33M 2.3</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2014/2014</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R$ 2.919,39</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R$ 2.919,39</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32</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VW KOMBI</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2005/2006</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R$ 1.621,88</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R$ 1.621,88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8681" w:type="dxa"/>
            <w:gridSpan w:val="7"/>
            <w:tcBorders>
              <w:top w:val="single" w:color="000001" w:sz="2"/>
              <w:left w:val="single" w:color="000001" w:sz="2"/>
              <w:bottom w:val="single" w:color="000001" w:sz="2"/>
              <w:right w:val="single" w:color="000001" w:sz="2"/>
            </w:tcBorders>
            <w:shd w:color="000000" w:fill="999999"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TOTAL DO GRUPO 02                                                                                                                                R$ 69.656,09</w:t>
            </w:r>
          </w:p>
        </w:tc>
      </w:tr>
      <w:tr>
        <w:trPr>
          <w:trHeight w:val="1" w:hRule="atLeast"/>
          <w:jc w:val="left"/>
        </w:trPr>
        <w:tc>
          <w:tcPr>
            <w:tcW w:w="5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center"/>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GRUPO03</w:t>
            </w: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33</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CAMINHÃO VW 15.190 CRM 4X2 (carroceria aberta)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2013/2013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R$ 4.949,39</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R$ 4.949,39</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34</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CAMINHÃO VW 7.110 (carroceria aberta)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2005/2005</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R$ 2.391,20</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R$ 2.391,20</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35</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CAMINHÃO IVECO TECTOR 240E 22 (plataforma)</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2013/2013</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R$ 5.375,22</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R$ 5.375,22</w:t>
            </w:r>
          </w:p>
        </w:tc>
      </w:tr>
      <w:tr>
        <w:trPr>
          <w:trHeight w:val="113" w:hRule="auto"/>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36</w:t>
            </w:r>
          </w:p>
        </w:tc>
        <w:tc>
          <w:tcPr>
            <w:tcW w:w="3738"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CAMINHÃO VW 13.180 (munck)</w:t>
            </w:r>
          </w:p>
        </w:tc>
        <w:tc>
          <w:tcPr>
            <w:tcW w:w="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2005/2006</w:t>
            </w:r>
          </w:p>
        </w:tc>
        <w:tc>
          <w:tcPr>
            <w:tcW w:w="62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675"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102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R$ 2.958,87</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R$ 2.958,87</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8681" w:type="dxa"/>
            <w:gridSpan w:val="7"/>
            <w:tcBorders>
              <w:top w:val="single" w:color="000001" w:sz="2"/>
              <w:left w:val="single" w:color="000001" w:sz="2"/>
              <w:bottom w:val="single" w:color="000001" w:sz="2"/>
              <w:right w:val="single" w:color="000001" w:sz="2"/>
            </w:tcBorders>
            <w:shd w:color="000000" w:fill="999999"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TOTAL DO GRUPO 03                                                                                                              R$ 15.674,68</w:t>
            </w:r>
          </w:p>
        </w:tc>
      </w:tr>
      <w:tr>
        <w:trPr>
          <w:trHeight w:val="1" w:hRule="atLeast"/>
          <w:jc w:val="left"/>
        </w:trPr>
        <w:tc>
          <w:tcPr>
            <w:tcW w:w="5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8681" w:type="dxa"/>
            <w:gridSpan w:val="7"/>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56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7485" w:type="dxa"/>
            <w:gridSpan w:val="6"/>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TOTAL GERAL (Nº de 83 VIATURAS) </w:t>
            </w:r>
          </w:p>
        </w:tc>
        <w:tc>
          <w:tcPr>
            <w:tcW w:w="1196"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R$ 223.544,47</w:t>
            </w:r>
          </w:p>
        </w:tc>
      </w:tr>
    </w:tbl>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p>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TABELA 2 </w:t>
      </w:r>
      <w:r>
        <w:rPr>
          <w:rFonts w:ascii="Times New Roman" w:hAnsi="Times New Roman" w:cs="Times New Roman" w:eastAsia="Times New Roman"/>
          <w:color w:val="00000A"/>
          <w:spacing w:val="0"/>
          <w:position w:val="0"/>
          <w:sz w:val="16"/>
          <w:shd w:fill="auto" w:val="clear"/>
        </w:rPr>
        <w:t xml:space="preserve">–</w:t>
      </w:r>
      <w:r>
        <w:rPr>
          <w:rFonts w:ascii="Times New Roman" w:hAnsi="Times New Roman" w:cs="Times New Roman" w:eastAsia="Times New Roman"/>
          <w:color w:val="00000A"/>
          <w:spacing w:val="0"/>
          <w:position w:val="0"/>
          <w:sz w:val="16"/>
          <w:shd w:fill="auto" w:val="clear"/>
        </w:rPr>
        <w:t xml:space="preserve"> VALORES DAS FRANQUIAS </w:t>
      </w:r>
    </w:p>
    <w:p>
      <w:pPr>
        <w:widowControl w:val="false"/>
        <w:spacing w:before="0" w:after="0" w:line="240"/>
        <w:ind w:right="0" w:left="0" w:firstLine="0"/>
        <w:jc w:val="left"/>
        <w:rPr>
          <w:rFonts w:ascii="Arial" w:hAnsi="Arial" w:cs="Arial" w:eastAsia="Arial"/>
          <w:color w:val="00000A"/>
          <w:spacing w:val="0"/>
          <w:position w:val="0"/>
          <w:sz w:val="20"/>
          <w:shd w:fill="auto" w:val="clear"/>
        </w:rPr>
      </w:pPr>
    </w:p>
    <w:tbl>
      <w:tblPr>
        <w:tblInd w:w="17" w:type="dxa"/>
      </w:tblPr>
      <w:tblGrid>
        <w:gridCol w:w="963"/>
        <w:gridCol w:w="500"/>
        <w:gridCol w:w="3962"/>
        <w:gridCol w:w="1313"/>
        <w:gridCol w:w="1300"/>
        <w:gridCol w:w="1187"/>
      </w:tblGrid>
      <w:tr>
        <w:trPr>
          <w:trHeight w:val="1" w:hRule="atLeast"/>
          <w:jc w:val="left"/>
        </w:trPr>
        <w:tc>
          <w:tcPr>
            <w:tcW w:w="963"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0"/>
                <w:spacing w:val="0"/>
                <w:position w:val="0"/>
                <w:sz w:val="16"/>
                <w:shd w:fill="auto" w:val="clear"/>
              </w:rPr>
              <w:t xml:space="preserve">GRUPO</w:t>
            </w:r>
          </w:p>
        </w:tc>
        <w:tc>
          <w:tcPr>
            <w:tcW w:w="500"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rFonts w:ascii="Times New Roman" w:hAnsi="Times New Roman" w:cs="Times New Roman" w:eastAsia="Times New Roman"/>
                <w:color w:val="000000"/>
                <w:spacing w:val="0"/>
                <w:position w:val="0"/>
                <w:sz w:val="16"/>
                <w:shd w:fill="auto" w:val="clear"/>
              </w:rPr>
            </w:pPr>
            <w:r>
              <w:rPr>
                <w:rFonts w:ascii="Times New Roman" w:hAnsi="Times New Roman" w:cs="Times New Roman" w:eastAsia="Times New Roman"/>
                <w:color w:val="000000"/>
                <w:spacing w:val="0"/>
                <w:position w:val="0"/>
                <w:sz w:val="16"/>
                <w:shd w:fill="auto" w:val="clear"/>
              </w:rPr>
              <w:t xml:space="preserve">ITEM</w:t>
            </w:r>
          </w:p>
          <w:p>
            <w:pPr>
              <w:widowControl w:val="false"/>
              <w:spacing w:before="0" w:after="0" w:line="240"/>
              <w:ind w:right="0" w:left="0" w:firstLine="0"/>
              <w:jc w:val="left"/>
              <w:rPr>
                <w:spacing w:val="0"/>
                <w:position w:val="0"/>
                <w:shd w:fill="auto" w:val="clear"/>
              </w:rPr>
            </w:pPr>
          </w:p>
        </w:tc>
        <w:tc>
          <w:tcPr>
            <w:tcW w:w="3962"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DESCRIÇÃO/ESPECIFICAÇÃO</w:t>
            </w:r>
          </w:p>
        </w:tc>
        <w:tc>
          <w:tcPr>
            <w:tcW w:w="1313"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ANO/MODELO</w:t>
            </w:r>
          </w:p>
        </w:tc>
        <w:tc>
          <w:tcPr>
            <w:tcW w:w="1300"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QUANTIDADE</w:t>
            </w:r>
          </w:p>
        </w:tc>
        <w:tc>
          <w:tcPr>
            <w:tcW w:w="1187" w:type="dxa"/>
            <w:tcBorders>
              <w:top w:val="single" w:color="000001" w:sz="2"/>
              <w:left w:val="single" w:color="000001" w:sz="2"/>
              <w:bottom w:val="single" w:color="000001" w:sz="2"/>
              <w:right w:val="single" w:color="000001" w:sz="2"/>
            </w:tcBorders>
            <w:shd w:color="000000" w:fill="cccccc" w:val="clear"/>
            <w:tcMar>
              <w:left w:w="-1" w:type="dxa"/>
              <w:right w:w="-1" w:type="dxa"/>
            </w:tcMar>
            <w:vAlign w:val="top"/>
          </w:tcPr>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FRANQUIA </w:t>
            </w:r>
          </w:p>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UNIDADE</w:t>
            </w:r>
          </w:p>
        </w:tc>
      </w:tr>
      <w:tr>
        <w:trPr>
          <w:trHeight w:val="1" w:hRule="atLeast"/>
          <w:jc w:val="left"/>
        </w:trPr>
        <w:tc>
          <w:tcPr>
            <w:tcW w:w="9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center"/>
              <w:rPr>
                <w:rFonts w:ascii="Times New Roman" w:hAnsi="Times New Roman" w:cs="Times New Roman" w:eastAsia="Times New Roman"/>
                <w:color w:val="00000A"/>
                <w:spacing w:val="0"/>
                <w:position w:val="0"/>
                <w:sz w:val="16"/>
                <w:shd w:fill="auto" w:val="clear"/>
              </w:rPr>
            </w:pPr>
          </w:p>
          <w:p>
            <w:pPr>
              <w:widowControl w:val="false"/>
              <w:spacing w:before="0" w:after="0" w:line="240"/>
              <w:ind w:right="0" w:left="0" w:firstLine="0"/>
              <w:jc w:val="center"/>
              <w:rPr>
                <w:rFonts w:ascii="Times New Roman" w:hAnsi="Times New Roman" w:cs="Times New Roman" w:eastAsia="Times New Roman"/>
                <w:color w:val="000000"/>
                <w:spacing w:val="0"/>
                <w:position w:val="0"/>
                <w:sz w:val="16"/>
                <w:shd w:fill="auto" w:val="clear"/>
              </w:rPr>
            </w:pPr>
          </w:p>
          <w:p>
            <w:pPr>
              <w:widowControl w:val="false"/>
              <w:spacing w:before="0" w:after="0" w:line="240"/>
              <w:ind w:right="0" w:left="0" w:firstLine="0"/>
              <w:jc w:val="center"/>
              <w:rPr>
                <w:rFonts w:ascii="Times New Roman" w:hAnsi="Times New Roman" w:cs="Times New Roman" w:eastAsia="Times New Roman"/>
                <w:color w:val="000000"/>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GRUPO</w:t>
            </w:r>
            <w:r>
              <w:rPr>
                <w:rFonts w:ascii="Times New Roman" w:hAnsi="Times New Roman" w:cs="Times New Roman" w:eastAsia="Times New Roman"/>
                <w:color w:val="000000"/>
                <w:spacing w:val="0"/>
                <w:position w:val="0"/>
                <w:sz w:val="16"/>
                <w:shd w:fill="auto" w:val="clear"/>
              </w:rPr>
              <w:t xml:space="preserve">01</w:t>
            </w:r>
          </w:p>
          <w:p>
            <w:pPr>
              <w:widowControl w:val="false"/>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 </w:t>
            </w: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01</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NISSAN FRONTIER</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2018/2018</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R$ 8.730,00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02</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L-200 TRITON HPE 3.2 TB-IC MEC. 4P D</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02</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R$ 6.280,00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03</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C 4 LOUNGE</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2018/2019</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R$ 5.250,00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04</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NISSAN SENTRA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2016/2017</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R$ 4.550,00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05</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COROLLA GLI UPER</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2017/2018</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R$ 4.900,00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06</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KIA  CADENZA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07</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FORD FUSION</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2011/2012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08</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PEUGEOT 408 ALURE BVA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2014/2015</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R$ 5.200,00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09</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PEUGEOT 408 ALLURE BVA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2015</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08</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R$ 5.200,00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10</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FORD FOCUS 2L (FLEX)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2010/2011</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06</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11</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FORD FOCUS 2L FC (FLEX)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2011/2011</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03</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12</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FORD FOCUS 2L (FLEX)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06</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13</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FORD FOCUS 2L FC (FLEX)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05</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R$ 3.400,00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14</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C4 PALLAS GLX 2.0 16V (AUT.) 4P 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2011/2012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02</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R$ 4.900,00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15</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C4 PALLAS GLX 2.0 16V (AUT.) 4P 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09</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R$ 4.300,00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16</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PEUGEOT 307</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2007/2008</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R$ 4.800,00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17</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NISSAN VERSA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2019</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02</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R$ 3.100,00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18</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FIESTA SEDAN (KINETIC) 1.0 8V(FLEX) 4</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05</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R$ 2.700,00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19</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FIESTA HATCH (KINETIC) 1.0 8V(FLEX) 4</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R$ 2.700,00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20</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COROLLA SEDAN SE-G 1.8 16V(N.SERIE) AU</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2006/2007</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02</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R$ 4.900,00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21</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GM VECTRA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1999</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22</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FIAT SIENA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2006</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23</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u w:val="single"/>
                <w:shd w:fill="auto" w:val="clear"/>
              </w:rPr>
              <w:t xml:space="preserve">GM MONTANA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2004</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R$ 2.860,00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24</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VW/GOL 1.8 / 5 PASSAGEIROS</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2001/2002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R$ 2.900,00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7075" w:type="dxa"/>
            <w:gridSpan w:val="4"/>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center"/>
              <w:rPr>
                <w:rFonts w:ascii="Times New Roman" w:hAnsi="Times New Roman" w:cs="Times New Roman" w:eastAsia="Times New Roman"/>
                <w:color w:val="00000A"/>
                <w:spacing w:val="0"/>
                <w:position w:val="0"/>
                <w:sz w:val="16"/>
                <w:shd w:fill="auto" w:val="clear"/>
              </w:rPr>
            </w:pPr>
          </w:p>
          <w:p>
            <w:pPr>
              <w:widowControl w:val="false"/>
              <w:spacing w:before="0" w:after="0" w:line="240"/>
              <w:ind w:right="0" w:left="0" w:firstLine="0"/>
              <w:jc w:val="center"/>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GRUPO 02</w:t>
            </w: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25</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ÔNIBUS VW MASCARELLO GRANVIA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2005/2005</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R$ 8.000,00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26</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ÔNIBUS VW COMIL CAMPIONE</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2012/2012</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R$ 22.000,00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27</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MICRO ÔNIBUS VOLARE - W9</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2015</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02</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R$ 10.500,00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28</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MICRO ÔNIBUS MERCEDES</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2017/2018</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R$ 17.500,00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RENAULT MASTER</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2017/2018</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04</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R$ 7.257,44</w:t>
            </w:r>
          </w:p>
        </w:tc>
      </w:tr>
      <w:tr>
        <w:trPr>
          <w:trHeight w:val="285" w:hRule="auto"/>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30</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FIAT DUCATO MINIBUS </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2012/2013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05</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R$ 5.300,00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CITROEN JUMPER M33M 2.3</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2014/2014</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32</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VW KOMBI</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2005/2006</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R$ 2.000,00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7075" w:type="dxa"/>
            <w:gridSpan w:val="4"/>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r>
      <w:tr>
        <w:trPr>
          <w:trHeight w:val="210" w:hRule="auto"/>
          <w:jc w:val="left"/>
        </w:trPr>
        <w:tc>
          <w:tcPr>
            <w:tcW w:w="963" w:type="dxa"/>
            <w:vMerge w:val="restart"/>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widowControl w:val="false"/>
              <w:spacing w:before="0" w:after="0" w:line="240"/>
              <w:ind w:right="0" w:left="0" w:firstLine="0"/>
              <w:jc w:val="center"/>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GRUPO 03</w:t>
            </w: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33</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CAMINHÃO VW 15.190 CRM 4X2 (carroceria aberta)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2013/2013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R$ 9.250,00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34</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CAMINHÃO VW 7.110 (carroceria aberta)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2005/2005</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R$ 3.600,00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35</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CAMINHÃO IVECO TECTOR 240E 22 (plataforma)</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2013/2013</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R$ 10.580,00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36</w:t>
            </w:r>
          </w:p>
        </w:tc>
        <w:tc>
          <w:tcPr>
            <w:tcW w:w="3962"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CAMINHÃO VW 13.180 (munck)</w:t>
            </w:r>
          </w:p>
        </w:tc>
        <w:tc>
          <w:tcPr>
            <w:tcW w:w="131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2005/2006</w:t>
            </w:r>
          </w:p>
        </w:tc>
        <w:tc>
          <w:tcPr>
            <w:tcW w:w="1300"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01</w:t>
            </w: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16"/>
                <w:shd w:fill="auto" w:val="clear"/>
              </w:rPr>
              <w:t xml:space="preserve">R$ 5.100,00</w:t>
            </w:r>
          </w:p>
        </w:tc>
      </w:tr>
      <w:tr>
        <w:trPr>
          <w:trHeight w:val="1" w:hRule="atLeast"/>
          <w:jc w:val="left"/>
        </w:trPr>
        <w:tc>
          <w:tcPr>
            <w:tcW w:w="963" w:type="dxa"/>
            <w:vMerge/>
            <w:tcBorders>
              <w:top w:val="single" w:color="000001" w:sz="2"/>
              <w:left w:val="single" w:color="000001" w:sz="2"/>
              <w:bottom w:val="single" w:color="000001" w:sz="2"/>
              <w:right w:val="single" w:color="000001" w:sz="2"/>
            </w:tcBorders>
            <w:shd w:color="000000" w:fill="ffffff" w:val="clear"/>
            <w:tcMar>
              <w:left w:w="-1" w:type="dxa"/>
              <w:right w:w="-1"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7075" w:type="dxa"/>
            <w:gridSpan w:val="4"/>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1" w:sz="2"/>
              <w:left w:val="single" w:color="000001" w:sz="2"/>
              <w:bottom w:val="single" w:color="000001" w:sz="2"/>
              <w:right w:val="single" w:color="000001" w:sz="2"/>
            </w:tcBorders>
            <w:shd w:color="000000" w:fill="c0c0c0"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63"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7075" w:type="dxa"/>
            <w:gridSpan w:val="4"/>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1" w:sz="2"/>
              <w:left w:val="single" w:color="000001" w:sz="2"/>
              <w:bottom w:val="single" w:color="000001" w:sz="2"/>
              <w:right w:val="single" w:color="000001" w:sz="2"/>
            </w:tcBorders>
            <w:shd w:color="000000" w:fill="ffffff" w:val="clear"/>
            <w:tcMar>
              <w:left w:w="-1" w:type="dxa"/>
              <w:right w:w="-1" w:type="dxa"/>
            </w:tcMar>
            <w:vAlign w:val="top"/>
          </w:tcPr>
          <w:p>
            <w:pPr>
              <w:widowControl w:val="false"/>
              <w:spacing w:before="0" w:after="0" w:line="240"/>
              <w:ind w:right="0" w:left="0" w:firstLine="0"/>
              <w:jc w:val="left"/>
              <w:rPr>
                <w:rFonts w:ascii="Calibri" w:hAnsi="Calibri" w:cs="Calibri" w:eastAsia="Calibri"/>
                <w:color w:val="auto"/>
                <w:spacing w:val="0"/>
                <w:position w:val="0"/>
                <w:sz w:val="22"/>
                <w:shd w:fill="auto" w:val="clear"/>
              </w:rPr>
            </w:pPr>
          </w:p>
        </w:tc>
      </w:tr>
    </w:tbl>
    <w:p>
      <w:pPr>
        <w:widowControl w:val="false"/>
        <w:spacing w:before="0" w:after="0" w:line="240"/>
        <w:ind w:right="0" w:left="0" w:firstLine="0"/>
        <w:jc w:val="left"/>
        <w:rPr>
          <w:rFonts w:ascii="Arial" w:hAnsi="Arial" w:cs="Arial" w:eastAsia="Arial"/>
          <w:color w:val="00000A"/>
          <w:spacing w:val="0"/>
          <w:position w:val="0"/>
          <w:sz w:val="20"/>
          <w:shd w:fill="auto" w:val="clear"/>
        </w:rPr>
      </w:pPr>
    </w:p>
    <w:p>
      <w:pPr>
        <w:widowControl w:val="false"/>
        <w:spacing w:before="0" w:after="0" w:line="240"/>
        <w:ind w:right="0" w:left="0" w:firstLine="0"/>
        <w:jc w:val="left"/>
        <w:rPr>
          <w:rFonts w:ascii="Arial" w:hAnsi="Arial" w:cs="Arial" w:eastAsia="Arial"/>
          <w:color w:val="00000A"/>
          <w:spacing w:val="0"/>
          <w:position w:val="0"/>
          <w:sz w:val="20"/>
          <w:shd w:fill="auto" w:val="clear"/>
        </w:rPr>
      </w:pPr>
    </w:p>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TABELA 3 </w:t>
      </w:r>
      <w:r>
        <w:rPr>
          <w:rFonts w:ascii="Times New Roman" w:hAnsi="Times New Roman" w:cs="Times New Roman" w:eastAsia="Times New Roman"/>
          <w:color w:val="00000A"/>
          <w:spacing w:val="0"/>
          <w:position w:val="0"/>
          <w:sz w:val="16"/>
          <w:shd w:fill="auto" w:val="clear"/>
        </w:rPr>
        <w:t xml:space="preserve">–</w:t>
      </w:r>
      <w:r>
        <w:rPr>
          <w:rFonts w:ascii="Times New Roman" w:hAnsi="Times New Roman" w:cs="Times New Roman" w:eastAsia="Times New Roman"/>
          <w:color w:val="00000A"/>
          <w:spacing w:val="0"/>
          <w:position w:val="0"/>
          <w:sz w:val="16"/>
          <w:shd w:fill="auto" w:val="clear"/>
        </w:rPr>
        <w:t xml:space="preserve"> COBERTURAS</w:t>
      </w:r>
    </w:p>
    <w:p>
      <w:pPr>
        <w:widowControl w:val="false"/>
        <w:spacing w:before="0" w:after="0" w:line="240"/>
        <w:ind w:right="0" w:left="0" w:firstLine="0"/>
        <w:jc w:val="left"/>
        <w:rPr>
          <w:rFonts w:ascii="Arial" w:hAnsi="Arial" w:cs="Arial" w:eastAsia="Arial"/>
          <w:color w:val="00000A"/>
          <w:spacing w:val="0"/>
          <w:position w:val="0"/>
          <w:sz w:val="20"/>
          <w:shd w:fill="auto" w:val="clear"/>
        </w:rPr>
      </w:pPr>
    </w:p>
    <w:tbl>
      <w:tblPr>
        <w:tblInd w:w="53" w:type="dxa"/>
      </w:tblPr>
      <w:tblGrid>
        <w:gridCol w:w="5416"/>
        <w:gridCol w:w="3426"/>
      </w:tblGrid>
      <w:tr>
        <w:trPr>
          <w:trHeight w:val="1" w:hRule="atLeast"/>
          <w:jc w:val="left"/>
        </w:trPr>
        <w:tc>
          <w:tcPr>
            <w:tcW w:w="5416" w:type="dxa"/>
            <w:tcBorders>
              <w:top w:val="single" w:color="000001" w:sz="2"/>
              <w:left w:val="single" w:color="000001" w:sz="2"/>
              <w:bottom w:val="single" w:color="000001" w:sz="2"/>
              <w:right w:val="single" w:color="000000" w:sz="0"/>
            </w:tcBorders>
            <w:shd w:color="000000" w:fill="ffffff" w:val="clear"/>
            <w:tcMar>
              <w:left w:w="0" w:type="dxa"/>
              <w:right w:w="0" w:type="dxa"/>
            </w:tcMar>
            <w:vAlign w:val="top"/>
          </w:tcPr>
          <w:p>
            <w:pPr>
              <w:widowControl w:val="false"/>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A"/>
                <w:spacing w:val="0"/>
                <w:position w:val="0"/>
                <w:sz w:val="16"/>
                <w:shd w:fill="auto" w:val="clear"/>
              </w:rPr>
              <w:t xml:space="preserve">Casco (veículos da tabela 1)  </w:t>
            </w:r>
          </w:p>
        </w:tc>
        <w:tc>
          <w:tcPr>
            <w:tcW w:w="3426" w:type="dxa"/>
            <w:tcBorders>
              <w:top w:val="single" w:color="000001" w:sz="2"/>
              <w:left w:val="single" w:color="000001" w:sz="2"/>
              <w:bottom w:val="single" w:color="000001" w:sz="2"/>
              <w:right w:val="single" w:color="000001" w:sz="2"/>
            </w:tcBorders>
            <w:shd w:color="000000" w:fill="ffffff" w:val="clear"/>
            <w:tcMar>
              <w:left w:w="0" w:type="dxa"/>
              <w:right w:w="0"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100% da tabela FIPE atualizada</w:t>
            </w:r>
          </w:p>
        </w:tc>
      </w:tr>
    </w:tbl>
    <w:p>
      <w:pPr>
        <w:widowControl w:val="false"/>
        <w:spacing w:before="0" w:after="0" w:line="240"/>
        <w:ind w:right="0" w:left="0" w:firstLine="0"/>
        <w:jc w:val="left"/>
        <w:rPr>
          <w:rFonts w:ascii="Arial" w:hAnsi="Arial" w:cs="Arial" w:eastAsia="Arial"/>
          <w:color w:val="00000A"/>
          <w:spacing w:val="0"/>
          <w:position w:val="0"/>
          <w:sz w:val="20"/>
          <w:shd w:fill="auto" w:val="clear"/>
        </w:rPr>
      </w:pPr>
    </w:p>
    <w:p>
      <w:pPr>
        <w:widowControl w:val="false"/>
        <w:spacing w:before="0" w:after="0" w:line="240"/>
        <w:ind w:right="0" w:left="0" w:firstLine="0"/>
        <w:jc w:val="left"/>
        <w:rPr>
          <w:rFonts w:ascii="Arial" w:hAnsi="Arial" w:cs="Arial" w:eastAsia="Arial"/>
          <w:color w:val="00000A"/>
          <w:spacing w:val="0"/>
          <w:position w:val="0"/>
          <w:sz w:val="20"/>
          <w:shd w:fill="auto" w:val="clear"/>
        </w:rPr>
      </w:pPr>
    </w:p>
    <w:tbl>
      <w:tblPr/>
      <w:tblGrid>
        <w:gridCol w:w="2880"/>
        <w:gridCol w:w="2880"/>
        <w:gridCol w:w="3478"/>
      </w:tblGrid>
      <w:tr>
        <w:trPr>
          <w:trHeight w:val="1" w:hRule="atLeast"/>
          <w:jc w:val="left"/>
        </w:trPr>
        <w:tc>
          <w:tcPr>
            <w:tcW w:w="2880" w:type="dxa"/>
            <w:tcBorders>
              <w:top w:val="single" w:color="000001" w:sz="2"/>
              <w:left w:val="single" w:color="000001" w:sz="2"/>
              <w:bottom w:val="single" w:color="000001" w:sz="2"/>
              <w:right w:val="single" w:color="000000" w:sz="0"/>
            </w:tcBorders>
            <w:shd w:color="000000" w:fill="c0c0c0"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Responsabilidade civil facultativa por veículo segurado </w:t>
            </w:r>
          </w:p>
        </w:tc>
        <w:tc>
          <w:tcPr>
            <w:tcW w:w="6358" w:type="dxa"/>
            <w:gridSpan w:val="2"/>
            <w:tcBorders>
              <w:top w:val="single" w:color="000001" w:sz="2"/>
              <w:left w:val="single" w:color="000001" w:sz="2"/>
              <w:bottom w:val="single" w:color="000001" w:sz="2"/>
              <w:right w:val="single" w:color="000001" w:sz="2"/>
            </w:tcBorders>
            <w:shd w:color="000000" w:fill="c0c0c0"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Valor </w:t>
            </w:r>
          </w:p>
        </w:tc>
      </w:tr>
      <w:tr>
        <w:trPr>
          <w:trHeight w:val="1" w:hRule="atLeast"/>
          <w:jc w:val="left"/>
        </w:trPr>
        <w:tc>
          <w:tcPr>
            <w:tcW w:w="2880" w:type="dxa"/>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Danos Materiais a Terceiros</w:t>
            </w:r>
          </w:p>
        </w:tc>
        <w:tc>
          <w:tcPr>
            <w:tcW w:w="6358" w:type="dxa"/>
            <w:gridSpan w:val="2"/>
            <w:tcBorders>
              <w:top w:val="single" w:color="000001" w:sz="2"/>
              <w:left w:val="single" w:color="000001" w:sz="2"/>
              <w:bottom w:val="single" w:color="000001" w:sz="2"/>
              <w:right w:val="single" w:color="000001" w:sz="2"/>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R$ 30.000,00</w:t>
            </w:r>
          </w:p>
        </w:tc>
      </w:tr>
      <w:tr>
        <w:trPr>
          <w:trHeight w:val="1" w:hRule="atLeast"/>
          <w:jc w:val="left"/>
        </w:trPr>
        <w:tc>
          <w:tcPr>
            <w:tcW w:w="2880" w:type="dxa"/>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Danos Pessoais a Terceiros </w:t>
            </w:r>
          </w:p>
        </w:tc>
        <w:tc>
          <w:tcPr>
            <w:tcW w:w="6358" w:type="dxa"/>
            <w:gridSpan w:val="2"/>
            <w:tcBorders>
              <w:top w:val="single" w:color="000001" w:sz="2"/>
              <w:left w:val="single" w:color="000001" w:sz="2"/>
              <w:bottom w:val="single" w:color="000001" w:sz="2"/>
              <w:right w:val="single" w:color="000001" w:sz="2"/>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R$ 30.000,00</w:t>
            </w:r>
          </w:p>
        </w:tc>
      </w:tr>
      <w:tr>
        <w:trPr>
          <w:trHeight w:val="1" w:hRule="atLeast"/>
          <w:jc w:val="left"/>
        </w:trPr>
        <w:tc>
          <w:tcPr>
            <w:tcW w:w="2880" w:type="dxa"/>
            <w:vMerge w:val="restart"/>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widowControl w:val="false"/>
              <w:spacing w:before="0" w:after="0" w:line="240"/>
              <w:ind w:right="0" w:left="0" w:firstLine="0"/>
              <w:jc w:val="left"/>
              <w:rPr>
                <w:rFonts w:ascii="Times New Roman" w:hAnsi="Times New Roman" w:cs="Times New Roman" w:eastAsia="Times New Roman"/>
                <w:color w:val="00000A"/>
                <w:spacing w:val="0"/>
                <w:position w:val="0"/>
                <w:sz w:val="16"/>
                <w:shd w:fill="auto" w:val="clear"/>
              </w:rPr>
            </w:pPr>
            <w:r>
              <w:rPr>
                <w:rFonts w:ascii="Times New Roman" w:hAnsi="Times New Roman" w:cs="Times New Roman" w:eastAsia="Times New Roman"/>
                <w:color w:val="00000A"/>
                <w:spacing w:val="0"/>
                <w:position w:val="0"/>
                <w:sz w:val="16"/>
                <w:shd w:fill="auto" w:val="clear"/>
              </w:rPr>
              <w:t xml:space="preserve">Acidentes Pessoais a Passageiros por </w:t>
            </w:r>
          </w:p>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ocupante</w:t>
            </w:r>
          </w:p>
        </w:tc>
        <w:tc>
          <w:tcPr>
            <w:tcW w:w="2880" w:type="dxa"/>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Morte</w:t>
            </w:r>
          </w:p>
        </w:tc>
        <w:tc>
          <w:tcPr>
            <w:tcW w:w="3478" w:type="dxa"/>
            <w:tcBorders>
              <w:top w:val="single" w:color="000001" w:sz="2"/>
              <w:left w:val="single" w:color="000001" w:sz="2"/>
              <w:bottom w:val="single" w:color="000001" w:sz="2"/>
              <w:right w:val="single" w:color="000001" w:sz="2"/>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R$ 10.000,00</w:t>
            </w:r>
          </w:p>
        </w:tc>
      </w:tr>
      <w:tr>
        <w:trPr>
          <w:trHeight w:val="1" w:hRule="atLeast"/>
          <w:jc w:val="left"/>
        </w:trPr>
        <w:tc>
          <w:tcPr>
            <w:tcW w:w="2880" w:type="dxa"/>
            <w:vMerge/>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tcBorders>
              <w:top w:val="single" w:color="000001" w:sz="2"/>
              <w:left w:val="single" w:color="000001" w:sz="2"/>
              <w:bottom w:val="single" w:color="000001" w:sz="2"/>
              <w:right w:val="single" w:color="000000" w:sz="0"/>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Times New Roman" w:hAnsi="Times New Roman" w:cs="Times New Roman" w:eastAsia="Times New Roman"/>
                <w:color w:val="00000A"/>
                <w:spacing w:val="0"/>
                <w:position w:val="0"/>
                <w:sz w:val="16"/>
                <w:shd w:fill="auto" w:val="clear"/>
              </w:rPr>
              <w:t xml:space="preserve">Invalidez</w:t>
            </w:r>
          </w:p>
        </w:tc>
        <w:tc>
          <w:tcPr>
            <w:tcW w:w="3478" w:type="dxa"/>
            <w:tcBorders>
              <w:top w:val="single" w:color="000001" w:sz="2"/>
              <w:left w:val="single" w:color="000001" w:sz="2"/>
              <w:bottom w:val="single" w:color="000001" w:sz="2"/>
              <w:right w:val="single" w:color="000001" w:sz="2"/>
            </w:tcBorders>
            <w:shd w:color="000000" w:fill="ffffff" w:val="clear"/>
            <w:tcMar>
              <w:left w:w="52" w:type="dxa"/>
              <w:right w:w="52" w:type="dxa"/>
            </w:tcMar>
            <w:vAlign w:val="top"/>
          </w:tcPr>
          <w:p>
            <w:pPr>
              <w:widowControl w:val="false"/>
              <w:spacing w:before="0" w:after="0" w:line="240"/>
              <w:ind w:right="0" w:left="0" w:firstLine="0"/>
              <w:jc w:val="left"/>
              <w:rPr>
                <w:spacing w:val="0"/>
                <w:position w:val="0"/>
                <w:shd w:fill="auto" w:val="clear"/>
              </w:rPr>
            </w:pPr>
            <w:r>
              <w:rPr>
                <w:rFonts w:ascii="Arial" w:hAnsi="Arial" w:cs="Arial" w:eastAsia="Arial"/>
                <w:color w:val="00000A"/>
                <w:spacing w:val="0"/>
                <w:position w:val="0"/>
                <w:sz w:val="16"/>
                <w:shd w:fill="auto" w:val="clear"/>
              </w:rPr>
              <w:t xml:space="preserve">R$ 10.000,00</w:t>
            </w:r>
          </w:p>
        </w:tc>
      </w:tr>
    </w:tbl>
    <w:p>
      <w:pPr>
        <w:widowControl w:val="false"/>
        <w:suppressAutoHyphens w:val="true"/>
        <w:spacing w:before="0" w:after="0" w:line="240"/>
        <w:ind w:right="0" w:left="0" w:firstLine="0"/>
        <w:jc w:val="left"/>
        <w:rPr>
          <w:rFonts w:ascii="Arial" w:hAnsi="Arial" w:cs="Arial" w:eastAsia="Arial"/>
          <w:color w:val="00000A"/>
          <w:spacing w:val="0"/>
          <w:position w:val="0"/>
          <w:sz w:val="20"/>
          <w:shd w:fill="FFFFFF" w:val="clear"/>
        </w:rPr>
      </w:pPr>
    </w:p>
    <w:p>
      <w:pPr>
        <w:widowControl w:val="false"/>
        <w:suppressAutoHyphens w:val="true"/>
        <w:spacing w:before="0" w:after="0" w:line="240"/>
        <w:ind w:right="0" w:left="0" w:firstLine="0"/>
        <w:jc w:val="both"/>
        <w:rPr>
          <w:rFonts w:ascii="Arial" w:hAnsi="Arial" w:cs="Arial" w:eastAsia="Arial"/>
          <w:color w:val="000000"/>
          <w:spacing w:val="0"/>
          <w:position w:val="0"/>
          <w:sz w:val="20"/>
          <w:shd w:fill="FFFF00" w:val="clear"/>
        </w:rPr>
      </w:pPr>
    </w:p>
    <w:p>
      <w:pPr>
        <w:widowControl w:val="false"/>
        <w:numPr>
          <w:ilvl w:val="0"/>
          <w:numId w:val="333"/>
        </w:numPr>
        <w:spacing w:before="120" w:after="120" w:line="276"/>
        <w:ind w:right="0" w:left="716" w:hanging="432"/>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O objeto da licitação tem a natureza de serviço comum.</w:t>
      </w:r>
    </w:p>
    <w:p>
      <w:pPr>
        <w:widowControl w:val="false"/>
        <w:numPr>
          <w:ilvl w:val="0"/>
          <w:numId w:val="333"/>
        </w:numPr>
        <w:spacing w:before="120" w:after="120" w:line="276"/>
        <w:ind w:right="0" w:left="716" w:hanging="432"/>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Os quantitativos e respectivos códigos dos itens são os discriminados na tabela acima.</w:t>
      </w:r>
    </w:p>
    <w:p>
      <w:pPr>
        <w:widowControl w:val="false"/>
        <w:numPr>
          <w:ilvl w:val="0"/>
          <w:numId w:val="333"/>
        </w:numPr>
        <w:spacing w:before="120" w:after="120" w:line="276"/>
        <w:ind w:right="0" w:left="716" w:hanging="432"/>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A presente contratação adotará como regime de execução a </w:t>
      </w:r>
      <w:r>
        <w:rPr>
          <w:rFonts w:ascii="Arial" w:hAnsi="Arial" w:cs="Arial" w:eastAsia="Arial"/>
          <w:color w:val="auto"/>
          <w:spacing w:val="0"/>
          <w:position w:val="0"/>
          <w:sz w:val="20"/>
          <w:shd w:fill="auto" w:val="clear"/>
        </w:rPr>
        <w:t xml:space="preserve">Empreitada por Preço  Global.</w:t>
      </w:r>
    </w:p>
    <w:p>
      <w:pPr>
        <w:widowControl w:val="false"/>
        <w:numPr>
          <w:ilvl w:val="0"/>
          <w:numId w:val="333"/>
        </w:numPr>
        <w:spacing w:before="120" w:after="120" w:line="276"/>
        <w:ind w:right="0" w:left="716" w:hanging="432"/>
        <w:jc w:val="both"/>
        <w:rPr>
          <w:rFonts w:ascii="Arial" w:hAnsi="Arial" w:cs="Arial" w:eastAsia="Arial"/>
          <w:color w:val="auto"/>
          <w:spacing w:val="0"/>
          <w:position w:val="0"/>
          <w:sz w:val="20"/>
          <w:shd w:fill="auto" w:val="clear"/>
        </w:rPr>
      </w:pPr>
      <w:r>
        <w:rPr>
          <w:rFonts w:ascii="Arial" w:hAnsi="Arial" w:cs="Arial" w:eastAsia="Arial"/>
          <w:color w:val="auto"/>
          <w:spacing w:val="0"/>
          <w:position w:val="0"/>
          <w:sz w:val="20"/>
          <w:shd w:fill="auto" w:val="clear"/>
        </w:rPr>
        <w:t xml:space="preserve">O contrato terá vigência pelo período de 12 (doze) meses, sendo prorrogável na forma do art. 57, II, da Lei de Licitações.</w:t>
      </w:r>
    </w:p>
    <w:p>
      <w:pPr>
        <w:keepNext w:val="true"/>
        <w:keepLines w:val="true"/>
        <w:widowControl w:val="false"/>
        <w:numPr>
          <w:ilvl w:val="0"/>
          <w:numId w:val="333"/>
        </w:numPr>
        <w:spacing w:before="480" w:after="0" w:line="276"/>
        <w:ind w:right="0" w:left="283"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JUSTIFICATIVA E OBJETIVO DA CONTRATAÇÃO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FFFFFF" w:val="clear"/>
        </w:rPr>
        <w:t xml:space="preserve">2.1. A presente contratação é composta de veículos leves e pesados dando possibilidade de ampla concorrência sendo motivada pela necessidade de garantir a cobertura de despesas frente a eventuais danos que possam atingir os veículos desta Organização Militar, principalmente por se tratar de viaturas que circulam diariamente, estando assim em plena atividade, minimizando os riscos de possíveis perdas patrimoniais e garantir assistência em casos de acidentes. </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tabs>
          <w:tab w:val="left" w:pos="2160"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2.2. a necessidade da contratação do serviço;</w:t>
      </w:r>
    </w:p>
    <w:p>
      <w:pPr>
        <w:widowControl w:val="false"/>
        <w:tabs>
          <w:tab w:val="left" w:pos="2160" w:leader="none"/>
        </w:tabs>
        <w:suppressAutoHyphens w:val="true"/>
        <w:spacing w:before="0" w:after="0" w:line="240"/>
        <w:ind w:right="0" w:left="0" w:firstLine="0"/>
        <w:jc w:val="both"/>
        <w:rPr>
          <w:rFonts w:ascii="Arial" w:hAnsi="Arial" w:cs="Arial" w:eastAsia="Arial"/>
          <w:color w:val="00000A"/>
          <w:spacing w:val="0"/>
          <w:position w:val="0"/>
          <w:sz w:val="20"/>
          <w:shd w:fill="FFFFFF" w:val="clear"/>
        </w:rPr>
      </w:pP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2.2.1 Considerando, que a vigência atual do seguro da frota de veículos oficiais desta Organização Militar expira em 28 de março de 2015, ás 24 horas, e havendo necessidade de renovação do referido seguro para manter a cobertura da frota.</w:t>
      </w: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FFFFFF" w:val="clear"/>
        </w:rPr>
      </w:pP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CC"/>
          <w:spacing w:val="0"/>
          <w:position w:val="0"/>
          <w:sz w:val="20"/>
          <w:shd w:fill="FFFFFF" w:val="clear"/>
        </w:rPr>
        <w:t xml:space="preserve"> </w:t>
      </w:r>
      <w:r>
        <w:rPr>
          <w:rFonts w:ascii="Arial" w:hAnsi="Arial" w:cs="Arial" w:eastAsia="Arial"/>
          <w:color w:val="00000A"/>
          <w:spacing w:val="0"/>
          <w:position w:val="0"/>
          <w:sz w:val="20"/>
          <w:shd w:fill="FFFFFF" w:val="clear"/>
        </w:rPr>
        <w:t xml:space="preserve">2.2.2 Considerando, ainda a necessidade de proteção patrimonial para os veículos </w:t>
        <w:tab/>
        <w:t xml:space="preserve">desta Organização Militar, diante do acréscimo constante da frota veicular na Cidade do Rio de Janeiro e em todo o Estado, fato esse que tem contribuído para constantes colisões e acidentes em geral, fartamente anunciadas pela mídia.</w:t>
        <w:tab/>
      </w: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2.3 Considerando, também as constantes mudanças climáticas, tem sido comuns na Cidade do Rio de Janeiro e no Estado acidentes de ordem natural, como queda de árvores e alagamentos em algumas partes das vias locais, fato esse também divulgado constantemente pela mídia.</w:t>
      </w:r>
    </w:p>
    <w:p>
      <w:pPr>
        <w:widowControl w:val="false"/>
        <w:tabs>
          <w:tab w:val="left" w:pos="0" w:leader="none"/>
          <w:tab w:val="left" w:pos="14" w:leader="none"/>
          <w:tab w:val="left" w:pos="27" w:leader="none"/>
          <w:tab w:val="left" w:pos="95" w:leader="none"/>
          <w:tab w:val="left" w:pos="232" w:leader="none"/>
        </w:tabs>
        <w:suppressAutoHyphens w:val="true"/>
        <w:spacing w:before="0" w:after="0" w:line="240"/>
        <w:ind w:right="0" w:left="0" w:firstLine="0"/>
        <w:jc w:val="both"/>
        <w:rPr>
          <w:rFonts w:ascii="Arial" w:hAnsi="Arial" w:cs="Arial" w:eastAsia="Arial"/>
          <w:color w:val="00000A"/>
          <w:spacing w:val="0"/>
          <w:position w:val="0"/>
          <w:sz w:val="20"/>
          <w:shd w:fill="FFFFFF" w:val="clear"/>
        </w:rPr>
      </w:pPr>
    </w:p>
    <w:p>
      <w:pPr>
        <w:widowControl w:val="false"/>
        <w:tabs>
          <w:tab w:val="left" w:pos="27" w:leader="none"/>
          <w:tab w:val="left" w:pos="95" w:leader="none"/>
          <w:tab w:val="left" w:pos="232" w:leader="none"/>
          <w:tab w:val="left" w:pos="850" w:leader="none"/>
        </w:tabs>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 xml:space="preserve">   3. </w:t>
      </w:r>
      <w:r>
        <w:rPr>
          <w:rFonts w:ascii="Arial" w:hAnsi="Arial" w:cs="Arial" w:eastAsia="Arial"/>
          <w:b/>
          <w:color w:val="00000A"/>
          <w:spacing w:val="0"/>
          <w:position w:val="0"/>
          <w:sz w:val="20"/>
          <w:shd w:fill="auto" w:val="clear"/>
        </w:rPr>
        <w:t xml:space="preserve">DESCRIÇÃO DA SOLUÇÃO:</w:t>
      </w:r>
    </w:p>
    <w:p>
      <w:pPr>
        <w:widowControl w:val="false"/>
        <w:suppressAutoHyphens w:val="true"/>
        <w:spacing w:before="0" w:after="120" w:line="240"/>
        <w:ind w:right="0" w:left="716" w:firstLine="0"/>
        <w:jc w:val="both"/>
        <w:rPr>
          <w:rFonts w:ascii="Arial" w:hAnsi="Arial" w:cs="Arial" w:eastAsia="Arial"/>
          <w:color w:val="000000"/>
          <w:spacing w:val="0"/>
          <w:position w:val="0"/>
          <w:sz w:val="20"/>
          <w:shd w:fill="auto" w:val="clear"/>
        </w:rPr>
      </w:pPr>
    </w:p>
    <w:p>
      <w:pPr>
        <w:widowControl w:val="false"/>
        <w:suppressAutoHyphens w:val="true"/>
        <w:spacing w:before="0" w:after="120" w:line="240"/>
        <w:ind w:right="0" w:left="26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3.1. A descrição da solução como um todo, conforme minudenciado nos Estudos Preliminares, abrange a prestação do serviço de seguros de Viaturas para a Divisão de Transportes do Comando do 1° Distrito Naval.</w:t>
      </w:r>
    </w:p>
    <w:p>
      <w:pPr>
        <w:widowControl w:val="false"/>
        <w:suppressAutoHyphens w:val="true"/>
        <w:spacing w:before="0" w:after="120" w:line="240"/>
        <w:ind w:right="0" w:left="716" w:firstLine="0"/>
        <w:jc w:val="both"/>
        <w:rPr>
          <w:rFonts w:ascii="Arial" w:hAnsi="Arial" w:cs="Arial" w:eastAsia="Arial"/>
          <w:color w:val="000000"/>
          <w:spacing w:val="0"/>
          <w:position w:val="0"/>
          <w:sz w:val="20"/>
          <w:shd w:fill="auto" w:val="clear"/>
        </w:rPr>
      </w:pPr>
    </w:p>
    <w:p>
      <w:pPr>
        <w:widowControl w:val="false"/>
        <w:suppressAutoHyphens w:val="true"/>
        <w:spacing w:before="0" w:after="12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0"/>
          <w:spacing w:val="0"/>
          <w:position w:val="0"/>
          <w:sz w:val="20"/>
          <w:shd w:fill="auto" w:val="clear"/>
        </w:rPr>
        <w:t xml:space="preserve">4. </w:t>
      </w:r>
      <w:r>
        <w:rPr>
          <w:rFonts w:ascii="Arial" w:hAnsi="Arial" w:cs="Arial" w:eastAsia="Arial"/>
          <w:b/>
          <w:color w:val="00000A"/>
          <w:spacing w:val="0"/>
          <w:position w:val="0"/>
          <w:sz w:val="20"/>
          <w:shd w:fill="auto" w:val="clear"/>
        </w:rPr>
        <w:t xml:space="preserve">DA CLASSIFICAÇÃO DOS SERVIÇOS E FORMA DE SELEÇÃO DO FORNECEDOR</w:t>
      </w:r>
    </w:p>
    <w:p>
      <w:pPr>
        <w:keepNext w:val="true"/>
        <w:keepLines w:val="true"/>
        <w:widowControl w:val="false"/>
        <w:spacing w:before="480" w:after="0" w:line="276"/>
        <w:ind w:right="0" w:left="0" w:firstLine="0"/>
        <w:jc w:val="both"/>
        <w:rPr>
          <w:rFonts w:ascii="Arial" w:hAnsi="Arial" w:cs="Arial" w:eastAsia="Arial"/>
          <w:b/>
          <w:color w:val="000000"/>
          <w:spacing w:val="0"/>
          <w:position w:val="0"/>
          <w:sz w:val="20"/>
          <w:shd w:fill="auto" w:val="clear"/>
        </w:rPr>
      </w:pPr>
      <w:r>
        <w:rPr>
          <w:rFonts w:ascii="Arial" w:hAnsi="Arial" w:cs="Arial" w:eastAsia="Arial"/>
          <w:color w:val="000000"/>
          <w:spacing w:val="0"/>
          <w:position w:val="0"/>
          <w:sz w:val="20"/>
          <w:shd w:fill="auto" w:val="clear"/>
        </w:rPr>
        <w:t xml:space="preserve">4.1. Trata-se de serviço comum de caráter continuado sem fornecimento de mão de obra em regime de dedicação exclusiva, a ser contratado mediante licitação, na modalidade pregão, em sua forma eletrônica</w:t>
      </w:r>
      <w:r>
        <w:rPr>
          <w:rFonts w:ascii="Arial" w:hAnsi="Arial" w:cs="Arial" w:eastAsia="Arial"/>
          <w:b/>
          <w:color w:val="000000"/>
          <w:spacing w:val="0"/>
          <w:position w:val="0"/>
          <w:sz w:val="20"/>
          <w:shd w:fill="auto" w:val="clear"/>
        </w:rPr>
        <w:t xml:space="preserve">. </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4.2.   Os serviços a serem contratados enquadram-se nos pressupostos do Decreto n° 9.507, de 21 de setembro de 2018, não se constituindo em quaisquer das atividades, previstas no art. 3º do aludido decreto, cuja execução indireta é vedada.</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4.3.  A prestação dos serviços não gera vínculo empregatício entre os empregados da Contratada e a Administração Contratante, vedando-se qualquer relação entre estes que caracterize pessoalidade e subordinação direta.</w:t>
      </w:r>
    </w:p>
    <w:p>
      <w:pPr>
        <w:keepNext w:val="true"/>
        <w:keepLines w:val="true"/>
        <w:widowControl w:val="false"/>
        <w:spacing w:before="480" w:after="0" w:line="276"/>
        <w:ind w:right="0" w:left="0"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5. REQUISITOS DA CONTRATAÇÃO</w:t>
      </w:r>
    </w:p>
    <w:p>
      <w:pPr>
        <w:widowControl w:val="false"/>
        <w:suppressAutoHyphens w:val="true"/>
        <w:spacing w:before="0" w:after="120" w:line="240"/>
        <w:ind w:right="0" w:left="716" w:firstLine="0"/>
        <w:jc w:val="both"/>
        <w:rPr>
          <w:rFonts w:ascii="Arial" w:hAnsi="Arial" w:cs="Arial" w:eastAsia="Arial"/>
          <w:color w:val="00000A"/>
          <w:spacing w:val="0"/>
          <w:position w:val="0"/>
          <w:sz w:val="20"/>
          <w:shd w:fill="auto" w:val="clear"/>
        </w:rPr>
      </w:pPr>
    </w:p>
    <w:p>
      <w:pPr>
        <w:widowControl w:val="false"/>
        <w:suppressAutoHyphens w:val="true"/>
        <w:spacing w:before="0" w:after="12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5.1.Conforme Estudos Preliminares, os requisitos da contratação abrangem o seguinte:</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FFFFFF" w:val="clear"/>
        </w:rPr>
        <w:t xml:space="preserve">5.2. A seguradora deverá cobrir todos os riscos derivados da circulação dos veículos segurados, as despesas indispensáveis ao salvamento e transporte dos veículos até oficina credenciada ou indicada pela Contratante, e as indenizações e prestações de serviços correspondentes a cada uma das coberturas do seguro, conforme descrito abaixo:</w:t>
      </w:r>
    </w:p>
    <w:p>
      <w:pPr>
        <w:widowControl w:val="false"/>
        <w:suppressAutoHyphens w:val="true"/>
        <w:spacing w:before="0" w:after="0" w:line="240"/>
        <w:ind w:right="0" w:left="2206" w:firstLine="0"/>
        <w:jc w:val="both"/>
        <w:rPr>
          <w:rFonts w:ascii="Arial" w:hAnsi="Arial" w:cs="Arial" w:eastAsia="Arial"/>
          <w:color w:val="000000"/>
          <w:spacing w:val="0"/>
          <w:position w:val="0"/>
          <w:sz w:val="20"/>
          <w:shd w:fill="FFFFFF"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ab/>
        <w:t xml:space="preserve">a)</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Colisão, abalroamento ou capotagem acidental;</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b)</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Queda acidental em precipícios ou de pontes;</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c)</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Raio e suas consequências, incêndio ou explosão acidentais;</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d)</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Queda acidental sobre o veículo de qualquer agente externo, desde que o agente exter-</w:t>
        <w:tab/>
        <w:t xml:space="preserve">no não faça parte integrante do veículo ou não esteja nele fixado;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e)</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Queda, deslizamento ou vazamento sobre o veículo da carga e/ou objeto por ele trans-</w:t>
        <w:tab/>
        <w:t xml:space="preserve">portado, em decorrência de acidente de trânsito e não da simples freada;</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f)</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Submersão total ou parcial do veículo em água doce proveniente de enchente ou inunda-</w:t>
        <w:tab/>
        <w:t xml:space="preserve">ções, inclusive nos casos de veículos guardados no subsolo;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g)</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Roubo ou furto, total ou parcial do veículo;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h)</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Acidente ocorrido durante seu transporte por qualquer meio apropriado;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i)</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Atos danosos praticados por terceiros, exceto se constantes do item “Prejuízos Não Indenizáveis pela Seguradora”;</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j)</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Despesas necessárias ao socorro e salvamento do veículo em consequência de um dos </w:t>
        <w:tab/>
        <w:t xml:space="preserve">riscos cobertos; </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ab/>
      </w:r>
      <w:r>
        <w:rPr>
          <w:rFonts w:ascii="Arial" w:hAnsi="Arial" w:cs="Arial" w:eastAsia="Arial"/>
          <w:color w:val="00000A"/>
          <w:spacing w:val="0"/>
          <w:position w:val="0"/>
          <w:sz w:val="20"/>
          <w:shd w:fill="FFFFFF" w:val="clear"/>
        </w:rPr>
        <w:t xml:space="preserve">k)</w:t>
      </w:r>
      <w:r>
        <w:rPr>
          <w:rFonts w:ascii="Arial" w:hAnsi="Arial" w:cs="Arial" w:eastAsia="Arial"/>
          <w:b/>
          <w:color w:val="00000A"/>
          <w:spacing w:val="0"/>
          <w:position w:val="0"/>
          <w:sz w:val="20"/>
          <w:shd w:fill="FFFFFF" w:val="clear"/>
        </w:rPr>
        <w:t xml:space="preserve"> </w:t>
      </w:r>
      <w:r>
        <w:rPr>
          <w:rFonts w:ascii="Arial" w:hAnsi="Arial" w:cs="Arial" w:eastAsia="Arial"/>
          <w:color w:val="00000A"/>
          <w:spacing w:val="0"/>
          <w:position w:val="0"/>
          <w:sz w:val="20"/>
          <w:shd w:fill="FFFFFF" w:val="clear"/>
        </w:rPr>
        <w:t xml:space="preserve">Roubo ou furto total exclusivo do rádio, toca-cd/dvd e tacógrafo, desde que façam parte </w:t>
        <w:tab/>
        <w:t xml:space="preserve">do modelo original do veículo, com aplicação da franquia estipulada da apólice para o veículo; e</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             l) chaveiro</w:t>
      </w:r>
      <w:r>
        <w:rPr>
          <w:rFonts w:ascii="Arial" w:hAnsi="Arial" w:cs="Arial" w:eastAsia="Arial"/>
          <w:color w:val="00000A"/>
          <w:spacing w:val="0"/>
          <w:position w:val="0"/>
          <w:sz w:val="24"/>
          <w:shd w:fill="FFFFFF" w:val="clear"/>
        </w:rPr>
        <w:t xml:space="preserve">.</w:t>
      </w:r>
    </w:p>
    <w:p>
      <w:pPr>
        <w:widowControl w:val="false"/>
        <w:suppressAutoHyphens w:val="true"/>
        <w:spacing w:before="0" w:after="0" w:line="240"/>
        <w:ind w:right="0" w:left="0" w:firstLine="0"/>
        <w:jc w:val="both"/>
        <w:rPr>
          <w:rFonts w:ascii="Arial" w:hAnsi="Arial" w:cs="Arial" w:eastAsia="Arial"/>
          <w:color w:val="00000A"/>
          <w:spacing w:val="0"/>
          <w:position w:val="0"/>
          <w:sz w:val="24"/>
          <w:shd w:fill="FFFFFF"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0"/>
          <w:spacing w:val="0"/>
          <w:position w:val="0"/>
          <w:sz w:val="20"/>
          <w:shd w:fill="auto" w:val="clear"/>
        </w:rPr>
        <w:t xml:space="preserve">            6. VISTORIA PARA A LICITAÇÃO.</w:t>
      </w:r>
    </w:p>
    <w:p>
      <w:pPr>
        <w:widowControl w:val="false"/>
        <w:suppressAutoHyphens w:val="true"/>
        <w:spacing w:before="0" w:after="0" w:line="240"/>
        <w:ind w:right="0" w:left="0" w:firstLine="0"/>
        <w:jc w:val="both"/>
        <w:rPr>
          <w:rFonts w:ascii="Arial" w:hAnsi="Arial" w:cs="Arial" w:eastAsia="Arial"/>
          <w:b/>
          <w:color w:val="000000"/>
          <w:spacing w:val="0"/>
          <w:position w:val="0"/>
          <w:sz w:val="20"/>
          <w:shd w:fill="auto" w:val="clear"/>
        </w:rPr>
      </w:pPr>
    </w:p>
    <w:p>
      <w:pPr>
        <w:widowControl w:val="false"/>
        <w:suppressAutoHyphens w:val="true"/>
        <w:spacing w:before="0" w:after="0" w:line="240"/>
        <w:ind w:right="0" w:left="6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6.1. Para o correto dimensionamento e elaboração de sua proposta, o licitante deverá realizar vistoria nos veículos a serem segurados nas instalações da Divisão de Transportes do Comando do 1º Distrito Naval, acompanhado por servidor designado para esse fim, q</w:t>
      </w:r>
      <w:r>
        <w:rPr>
          <w:rFonts w:ascii="Arial" w:hAnsi="Arial" w:cs="Arial" w:eastAsia="Arial"/>
          <w:color w:val="000000"/>
          <w:spacing w:val="0"/>
          <w:position w:val="0"/>
          <w:sz w:val="20"/>
          <w:shd w:fill="FFFFFF" w:val="clear"/>
        </w:rPr>
        <w:t xml:space="preserve">ue ocorrerá entre os dias 09 a 18 de março de 2020, no período de expediente do órgão, de 8:00h às 16:00h devendo o agendamento ser efetuado previamente pelo telefone (21) 2104-6145, tratar com o Suboficial (MO) Tanardo. </w:t>
      </w:r>
    </w:p>
    <w:p>
      <w:pPr>
        <w:widowControl w:val="false"/>
        <w:suppressAutoHyphens w:val="true"/>
        <w:spacing w:before="0" w:after="0" w:line="240"/>
        <w:ind w:right="0" w:left="6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6.2. O prazo para vistoria </w:t>
      </w:r>
      <w:r>
        <w:rPr>
          <w:rFonts w:ascii="Arial" w:hAnsi="Arial" w:cs="Arial" w:eastAsia="Arial"/>
          <w:color w:val="000000"/>
          <w:spacing w:val="0"/>
          <w:position w:val="0"/>
          <w:sz w:val="20"/>
          <w:shd w:fill="FFFFFF" w:val="clear"/>
        </w:rPr>
        <w:t xml:space="preserve">iniciar-se-á no dia útil seguinte ao da publicação do Edital, estendendo-se até o dia útil anterior à data prevista para a abertura da sessão pública.</w:t>
      </w:r>
    </w:p>
    <w:p>
      <w:pPr>
        <w:widowControl w:val="false"/>
        <w:suppressAutoHyphens w:val="true"/>
        <w:spacing w:before="0" w:after="0" w:line="240"/>
        <w:ind w:right="0" w:left="64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FFFFFF" w:val="clear"/>
        </w:rPr>
        <w:t xml:space="preserve">6.3. Para a vistoria, o licitante, ou o seu representante, deverá estar devidamente identificado.</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6.4. O prazo para vistoria iniciar-se-á no dia útil seguinte ao da publicação do Edital, estendendo-se até o dia útil anterior à data prevista para a abertura da sessão pública.</w:t>
      </w:r>
    </w:p>
    <w:p>
      <w:pPr>
        <w:widowControl w:val="false"/>
        <w:spacing w:before="120" w:after="120" w:line="276"/>
        <w:ind w:right="0" w:left="264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6.4.1. Para a vistoria o licitante, ou o seu representante legal, deverá estar devidamente identificado, apresentando documento de identidade civil e documento expedido pela empresa comprovando sua habilitação para a realização da vistoria.</w:t>
      </w:r>
    </w:p>
    <w:p>
      <w:pPr>
        <w:keepNext w:val="true"/>
        <w:keepLines w:val="true"/>
        <w:widowControl w:val="false"/>
        <w:spacing w:before="480" w:after="0" w:line="276"/>
        <w:ind w:right="0" w:left="680"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7. MODELO DE EXECUÇÃO DO OBJETO</w:t>
      </w:r>
    </w:p>
    <w:p>
      <w:pPr>
        <w:widowControl w:val="false"/>
        <w:suppressAutoHyphens w:val="true"/>
        <w:spacing w:before="0" w:after="120" w:line="240"/>
        <w:ind w:right="0" w:left="716" w:firstLine="0"/>
        <w:jc w:val="both"/>
        <w:rPr>
          <w:rFonts w:ascii="Arial" w:hAnsi="Arial" w:cs="Arial" w:eastAsia="Arial"/>
          <w:color w:val="00000A"/>
          <w:spacing w:val="0"/>
          <w:position w:val="0"/>
          <w:sz w:val="20"/>
          <w:shd w:fill="auto" w:val="clear"/>
        </w:rPr>
      </w:pPr>
    </w:p>
    <w:p>
      <w:pPr>
        <w:widowControl w:val="false"/>
        <w:tabs>
          <w:tab w:val="left" w:pos="28" w:leader="none"/>
          <w:tab w:val="left" w:pos="41" w:leader="none"/>
          <w:tab w:val="left" w:pos="55" w:leader="none"/>
          <w:tab w:val="left" w:pos="69" w:leader="none"/>
        </w:tabs>
        <w:suppressAutoHyphens w:val="true"/>
        <w:spacing w:before="0" w:after="0" w:line="240"/>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7.1. A execução dos serviços será iniciada conforme prazos estabelecidos no subitem 5 deste Termo de Referência;</w:t>
      </w:r>
    </w:p>
    <w:p>
      <w:pPr>
        <w:widowControl w:val="false"/>
        <w:tabs>
          <w:tab w:val="left" w:pos="28" w:leader="none"/>
          <w:tab w:val="left" w:pos="41" w:leader="none"/>
          <w:tab w:val="left" w:pos="55" w:leader="none"/>
          <w:tab w:val="left" w:pos="69" w:leader="none"/>
        </w:tabs>
        <w:suppressAutoHyphens w:val="true"/>
        <w:spacing w:before="0" w:after="0" w:line="240"/>
        <w:ind w:right="0" w:left="680" w:firstLine="0"/>
        <w:jc w:val="both"/>
        <w:rPr>
          <w:rFonts w:ascii="Arial" w:hAnsi="Arial" w:cs="Arial" w:eastAsia="Arial"/>
          <w:color w:val="00000A"/>
          <w:spacing w:val="0"/>
          <w:position w:val="0"/>
          <w:sz w:val="20"/>
          <w:shd w:fill="FFFFFF" w:val="clear"/>
        </w:rPr>
      </w:pPr>
    </w:p>
    <w:p>
      <w:pPr>
        <w:widowControl w:val="false"/>
        <w:tabs>
          <w:tab w:val="left" w:pos="28" w:leader="none"/>
          <w:tab w:val="left" w:pos="41" w:leader="none"/>
          <w:tab w:val="left" w:pos="55" w:leader="none"/>
          <w:tab w:val="left" w:pos="69" w:leader="none"/>
        </w:tabs>
        <w:suppressAutoHyphens w:val="true"/>
        <w:spacing w:before="0" w:after="0" w:line="240"/>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7.2. Os serviços poderão ser rejeitados, no todo ou em parte, quando em desacordo </w:t>
        <w:tab/>
        <w:t xml:space="preserve">com as especificações constantes neste Termo de Referência  e  na  proposta, </w:t>
        <w:tab/>
        <w:t xml:space="preserve">devendo ser corrigidos/refeitos/substituídos no prazo fixado pelo fiscal do contrato, </w:t>
        <w:tab/>
        <w:t xml:space="preserve">às custas da Contratada, sem prejuízo da aplicação de penalidades;</w:t>
      </w:r>
    </w:p>
    <w:p>
      <w:pPr>
        <w:widowControl w:val="false"/>
        <w:tabs>
          <w:tab w:val="left" w:pos="28" w:leader="none"/>
          <w:tab w:val="left" w:pos="41" w:leader="none"/>
          <w:tab w:val="left" w:pos="55" w:leader="none"/>
          <w:tab w:val="left" w:pos="69" w:leader="none"/>
        </w:tabs>
        <w:suppressAutoHyphens w:val="true"/>
        <w:spacing w:before="0" w:after="0" w:line="240"/>
        <w:ind w:right="0" w:left="737" w:firstLine="0"/>
        <w:jc w:val="both"/>
        <w:rPr>
          <w:rFonts w:ascii="Arial" w:hAnsi="Arial" w:cs="Arial" w:eastAsia="Arial"/>
          <w:color w:val="00000A"/>
          <w:spacing w:val="0"/>
          <w:position w:val="0"/>
          <w:sz w:val="20"/>
          <w:shd w:fill="FFFFFF" w:val="clear"/>
        </w:rPr>
      </w:pPr>
    </w:p>
    <w:p>
      <w:pPr>
        <w:widowControl w:val="false"/>
        <w:tabs>
          <w:tab w:val="left" w:pos="28" w:leader="none"/>
          <w:tab w:val="left" w:pos="41" w:leader="none"/>
          <w:tab w:val="left" w:pos="55" w:leader="none"/>
          <w:tab w:val="left" w:pos="69" w:leader="none"/>
        </w:tabs>
        <w:suppressAutoHyphens w:val="true"/>
        <w:spacing w:before="0" w:after="0" w:line="240"/>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7.3. Na hipótese de a verificação a que se refere o subitem anterior não ser procedida dentro do prazo fixado, reputar-se-á como realizada, consumando-se o recebimento definitivo no dia do esgotamento do prazo;</w:t>
      </w:r>
    </w:p>
    <w:p>
      <w:pPr>
        <w:widowControl w:val="false"/>
        <w:tabs>
          <w:tab w:val="left" w:pos="28" w:leader="none"/>
          <w:tab w:val="left" w:pos="41" w:leader="none"/>
          <w:tab w:val="left" w:pos="55" w:leader="none"/>
          <w:tab w:val="left" w:pos="69" w:leader="none"/>
        </w:tabs>
        <w:suppressAutoHyphens w:val="true"/>
        <w:spacing w:before="0" w:after="0" w:line="240"/>
        <w:ind w:right="0" w:left="680" w:firstLine="0"/>
        <w:jc w:val="both"/>
        <w:rPr>
          <w:rFonts w:ascii="Arial" w:hAnsi="Arial" w:cs="Arial" w:eastAsia="Arial"/>
          <w:color w:val="00000A"/>
          <w:spacing w:val="0"/>
          <w:position w:val="0"/>
          <w:sz w:val="20"/>
          <w:shd w:fill="FFFFFF" w:val="clear"/>
        </w:rPr>
      </w:pPr>
    </w:p>
    <w:p>
      <w:pPr>
        <w:widowControl w:val="false"/>
        <w:tabs>
          <w:tab w:val="left" w:pos="28" w:leader="none"/>
          <w:tab w:val="left" w:pos="41" w:leader="none"/>
          <w:tab w:val="left" w:pos="55" w:leader="none"/>
          <w:tab w:val="left" w:pos="69" w:leader="none"/>
        </w:tabs>
        <w:suppressAutoHyphens w:val="true"/>
        <w:spacing w:before="0" w:after="0" w:line="240"/>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7.4. O recebimento provisório ou definitivo do objeto não exclui a responsabilidade da Contratada pelos prejuízos resultantes da incorreta execução do contrato; e</w:t>
      </w:r>
    </w:p>
    <w:p>
      <w:pPr>
        <w:widowControl w:val="false"/>
        <w:spacing w:before="0" w:after="0" w:line="240"/>
        <w:ind w:right="0" w:left="680" w:firstLine="0"/>
        <w:jc w:val="both"/>
        <w:rPr>
          <w:rFonts w:ascii="Arial" w:hAnsi="Arial" w:cs="Arial" w:eastAsia="Arial"/>
          <w:color w:val="00000A"/>
          <w:spacing w:val="0"/>
          <w:position w:val="0"/>
          <w:sz w:val="20"/>
          <w:shd w:fill="auto" w:val="clear"/>
        </w:rPr>
      </w:pPr>
    </w:p>
    <w:p>
      <w:pPr>
        <w:widowControl w:val="false"/>
        <w:spacing w:before="0" w:after="0" w:line="240"/>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7.5. A execução dos serviços será iniciada após assinatura do acordo entre as partes.</w:t>
      </w:r>
    </w:p>
    <w:p>
      <w:pPr>
        <w:widowControl w:val="false"/>
        <w:spacing w:before="0" w:after="0" w:line="240"/>
        <w:ind w:right="0" w:left="624" w:firstLine="0"/>
        <w:jc w:val="both"/>
        <w:rPr>
          <w:rFonts w:ascii="Arial" w:hAnsi="Arial" w:cs="Arial" w:eastAsia="Arial"/>
          <w:color w:val="auto"/>
          <w:spacing w:val="0"/>
          <w:position w:val="0"/>
          <w:sz w:val="20"/>
          <w:shd w:fill="auto" w:val="clear"/>
        </w:rPr>
      </w:pPr>
    </w:p>
    <w:p>
      <w:pPr>
        <w:widowControl w:val="false"/>
        <w:spacing w:before="0" w:after="0" w:line="240"/>
        <w:ind w:right="0" w:left="567" w:firstLine="0"/>
        <w:jc w:val="both"/>
        <w:rPr>
          <w:rFonts w:ascii="Arial" w:hAnsi="Arial" w:cs="Arial" w:eastAsia="Arial"/>
          <w:color w:val="auto"/>
          <w:spacing w:val="0"/>
          <w:position w:val="0"/>
          <w:sz w:val="20"/>
          <w:shd w:fill="auto" w:val="clear"/>
        </w:rPr>
      </w:pPr>
    </w:p>
    <w:p>
      <w:pPr>
        <w:widowControl w:val="false"/>
        <w:spacing w:before="0" w:after="0" w:line="240"/>
        <w:ind w:right="0" w:left="720" w:firstLine="0"/>
        <w:jc w:val="both"/>
        <w:rPr>
          <w:rFonts w:ascii="Arial" w:hAnsi="Arial" w:cs="Arial" w:eastAsia="Arial"/>
          <w:color w:val="00000A"/>
          <w:spacing w:val="0"/>
          <w:position w:val="0"/>
          <w:sz w:val="20"/>
          <w:shd w:fill="auto" w:val="clear"/>
        </w:rPr>
      </w:pPr>
      <w:r>
        <w:rPr>
          <w:rFonts w:ascii="Arial" w:hAnsi="Arial" w:cs="Arial" w:eastAsia="Arial"/>
          <w:b/>
          <w:color w:val="auto"/>
          <w:spacing w:val="0"/>
          <w:position w:val="0"/>
          <w:sz w:val="20"/>
          <w:shd w:fill="auto" w:val="clear"/>
        </w:rPr>
        <w:t xml:space="preserve">8. MODELO DE GESTÃO DO CONTRATO E CRITÉRIOS DE MEDIÇÃO:</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auto"/>
          <w:spacing w:val="0"/>
          <w:position w:val="0"/>
          <w:sz w:val="20"/>
          <w:shd w:fill="auto" w:val="clear"/>
        </w:rPr>
        <w:t xml:space="preserve">8.1. A Divisão de Transporte deste Comando (DN-83) por meio do seu Encarregado e seus supervisores, são os responsáveis por monitorar o atendimento prestado pela Contratada, estabelecendo contato direto com a mesma via telefone e/ou e-mail visando a comunicação para a gestão do contrato, ficando a Contratada passível de sanções administrativas, quando do não cumprimento de suas responsabilidades previstas neste Termo de Referência. A forma de aferição quanto ao desempenho do objeto perpassará o seguinte critério:</w:t>
      </w:r>
    </w:p>
    <w:p>
      <w:pPr>
        <w:widowControl w:val="false"/>
        <w:spacing w:before="120" w:after="120" w:line="276"/>
        <w:ind w:right="0" w:left="720" w:firstLine="0"/>
        <w:jc w:val="both"/>
        <w:rPr>
          <w:rFonts w:ascii="Arial" w:hAnsi="Arial" w:cs="Arial" w:eastAsia="Arial"/>
          <w:color w:val="00000A"/>
          <w:spacing w:val="0"/>
          <w:position w:val="0"/>
          <w:sz w:val="20"/>
          <w:shd w:fill="auto" w:val="clear"/>
        </w:rPr>
      </w:pPr>
      <w:r>
        <w:rPr>
          <w:rFonts w:ascii="Arial" w:hAnsi="Arial" w:cs="Arial" w:eastAsia="Arial"/>
          <w:color w:val="auto"/>
          <w:spacing w:val="0"/>
          <w:position w:val="0"/>
          <w:sz w:val="20"/>
          <w:shd w:fill="auto" w:val="clear"/>
        </w:rPr>
        <w:t xml:space="preserve">8.2. Com o objetivo de saber o desempenho da CONTRATADA, será feito levantamento quanto aos parâmetros relativos a prestação dos serviços atinentes ao objeto.</w:t>
      </w:r>
    </w:p>
    <w:p>
      <w:pPr>
        <w:keepNext w:val="true"/>
        <w:keepLines w:val="true"/>
        <w:widowControl w:val="false"/>
        <w:spacing w:before="480" w:after="0" w:line="276"/>
        <w:ind w:right="0" w:left="0"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9. INFORMAÇÕES RELEVANTES PARA O DIMENSIONAMENTO DA PROPOSTA</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9.1.  DO PERFIL DOS MOTORISTAS</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FFFFFF" w:val="clear"/>
        </w:rPr>
      </w:pPr>
      <w:r>
        <w:rPr>
          <w:rFonts w:ascii="Arial" w:hAnsi="Arial" w:cs="Arial" w:eastAsia="Arial"/>
          <w:color w:val="00000A"/>
          <w:spacing w:val="0"/>
          <w:position w:val="0"/>
          <w:sz w:val="20"/>
          <w:shd w:fill="FFFFFF" w:val="clear"/>
        </w:rPr>
        <w:t xml:space="preserve">Características individuais dos motoristas, como tempo de habilitação, idade ou sexo, não devem ser consideradas como condição delimitadora para efeitos de fixação do seguro a ser contratado.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9.2. Os veículos são conduzidos por motoristas militares, servidores civis da Marinha do Brasil e funcionários contratados por empresa licitada para prestar serviço de motoristas ao Comando do 1º Distrito Naval. </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suppressAutoHyphens w:val="true"/>
        <w:spacing w:before="0" w:after="0" w:line="240"/>
        <w:ind w:right="0" w:left="0" w:firstLine="0"/>
        <w:jc w:val="both"/>
        <w:rPr>
          <w:rFonts w:ascii="Arial" w:hAnsi="Arial" w:cs="Arial" w:eastAsia="Arial"/>
          <w:b/>
          <w:color w:val="00000A"/>
          <w:spacing w:val="0"/>
          <w:position w:val="0"/>
          <w:sz w:val="20"/>
          <w:shd w:fill="auto" w:val="clear"/>
        </w:rPr>
      </w:pPr>
      <w:r>
        <w:rPr>
          <w:rFonts w:ascii="Arial" w:hAnsi="Arial" w:cs="Arial" w:eastAsia="Arial"/>
          <w:b/>
          <w:color w:val="00000A"/>
          <w:spacing w:val="0"/>
          <w:position w:val="0"/>
          <w:sz w:val="20"/>
          <w:shd w:fill="FFFFFF" w:val="clear"/>
        </w:rPr>
        <w:t xml:space="preserve"> 10.   DO ENDOSSO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10.1. Qualquer alteração na apólice poderá ser solicitada pelo Comando do 1º Distrito Naval e processada pela seguradora, mediante endosso, inclusive no caso da compra de novos veículos por parte do Contratante, doados ou transferidos para o Contratante por parte de outras Organizações Militares ou outros Órgãos Públicos.</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suppressAutoHyphens w:val="true"/>
        <w:spacing w:before="0" w:after="0" w:line="240"/>
        <w:ind w:right="0" w:left="0" w:firstLine="0"/>
        <w:jc w:val="both"/>
        <w:rPr>
          <w:rFonts w:ascii="Arial" w:hAnsi="Arial" w:cs="Arial" w:eastAsia="Arial"/>
          <w:b/>
          <w:color w:val="00000A"/>
          <w:spacing w:val="0"/>
          <w:position w:val="0"/>
          <w:sz w:val="20"/>
          <w:shd w:fill="auto" w:val="clear"/>
        </w:rPr>
      </w:pPr>
      <w:r>
        <w:rPr>
          <w:rFonts w:ascii="Arial" w:hAnsi="Arial" w:cs="Arial" w:eastAsia="Arial"/>
          <w:b/>
          <w:color w:val="00000A"/>
          <w:spacing w:val="0"/>
          <w:position w:val="0"/>
          <w:sz w:val="20"/>
          <w:shd w:fill="FFFFFF" w:val="clear"/>
        </w:rPr>
        <w:t xml:space="preserve"> 11.  DA FRANQUIA</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11.1.A franquia considerada é a obrigatória, observado, no entanto, o seguinte:</w:t>
      </w:r>
    </w:p>
    <w:p>
      <w:pPr>
        <w:widowControl w:val="false"/>
        <w:suppressAutoHyphens w:val="true"/>
        <w:spacing w:before="0" w:after="0" w:line="240"/>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ab/>
        <w:t xml:space="preserve">Não deverá ser objeto de classificação das propostas, que serão avaliadas exclusivamente em função dos preços propostos (prêmio);</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11.2</w:t>
        <w:tab/>
        <w:t xml:space="preserve">Em caso de sinistro, o valor referente à franquia deverá ser pago pelo Comando do </w:t>
        <w:tab/>
        <w:t xml:space="preserve">1º Distrito Naval, prioritariamente, à concessionária/oficina que promover o conserto do </w:t>
        <w:tab/>
        <w:t xml:space="preserve">veículo. Caso esta não esteja com sua documentação regular para contratação com o Comando do 1º Distrito Naval, o pagamento da franquia deverá ser efetuado à seguradora emitente da apólice, que se responsabilizará pelo repasse; e</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FFFFFF"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FFFFFF" w:val="clear"/>
        </w:rPr>
        <w:t xml:space="preserve">11.3. A franquia dos veículos será do tipo normal, ficando os valores para cada veículo limitado ao máximo constante na tabela 2, do anexo I, deste Termo de Referência.</w:t>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FFFFFF" w:val="clear"/>
        </w:rPr>
      </w:pPr>
      <w:r>
        <w:rPr>
          <w:rFonts w:ascii="Arial" w:hAnsi="Arial" w:cs="Arial" w:eastAsia="Arial"/>
          <w:color w:val="00000A"/>
          <w:spacing w:val="0"/>
          <w:position w:val="0"/>
          <w:sz w:val="20"/>
          <w:shd w:fill="FFFFFF" w:val="clear"/>
        </w:rPr>
        <w:tab/>
      </w:r>
    </w:p>
    <w:p>
      <w:pPr>
        <w:widowControl w:val="false"/>
        <w:suppressAutoHyphens w:val="true"/>
        <w:spacing w:before="0" w:after="0" w:line="240"/>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FFFFFF" w:val="clear"/>
        </w:rPr>
        <w:t xml:space="preserve">12. DOS BÔNUS</w:t>
      </w:r>
    </w:p>
    <w:p>
      <w:pPr>
        <w:widowControl w:val="false"/>
        <w:suppressAutoHyphens w:val="true"/>
        <w:spacing w:before="0" w:after="0" w:line="240"/>
        <w:ind w:right="0" w:left="0" w:firstLine="0"/>
        <w:jc w:val="both"/>
        <w:rPr>
          <w:rFonts w:ascii="Arial" w:hAnsi="Arial" w:cs="Arial" w:eastAsia="Arial"/>
          <w:b/>
          <w:color w:val="00000A"/>
          <w:spacing w:val="0"/>
          <w:position w:val="0"/>
          <w:sz w:val="20"/>
          <w:shd w:fill="FFFFFF" w:val="clear"/>
        </w:rPr>
      </w:pPr>
    </w:p>
    <w:p>
      <w:pPr>
        <w:widowControl w:val="false"/>
        <w:suppressAutoHyphens w:val="true"/>
        <w:spacing w:before="0" w:after="0" w:line="240"/>
        <w:ind w:right="0" w:left="0" w:firstLine="0"/>
        <w:jc w:val="both"/>
        <w:rPr>
          <w:rFonts w:ascii="Arial" w:hAnsi="Arial" w:cs="Arial" w:eastAsia="Arial"/>
          <w:color w:val="00000A"/>
          <w:spacing w:val="0"/>
          <w:position w:val="0"/>
          <w:sz w:val="20"/>
          <w:shd w:fill="FFFFFF" w:val="clear"/>
        </w:rPr>
      </w:pPr>
      <w:r>
        <w:rPr>
          <w:rFonts w:ascii="Arial" w:hAnsi="Arial" w:cs="Arial" w:eastAsia="Arial"/>
          <w:color w:val="00000A"/>
          <w:spacing w:val="0"/>
          <w:position w:val="0"/>
          <w:sz w:val="20"/>
          <w:shd w:fill="FFFFFF" w:val="clear"/>
        </w:rPr>
        <w:t xml:space="preserve">12.1 A licitante vencedora, independente de ser ou não a atual contratada, deverá observar os bônus existentes na apólice anterior, considerando em suas propostas de preços o bônus a conceder para próximo período da vigência das apólices; e</w:t>
      </w:r>
    </w:p>
    <w:p>
      <w:pPr>
        <w:keepNext w:val="true"/>
        <w:keepLines w:val="true"/>
        <w:widowControl w:val="false"/>
        <w:spacing w:before="480" w:after="0" w:line="276"/>
        <w:ind w:right="0" w:left="0"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FFFFFF" w:val="clear"/>
        </w:rPr>
        <w:t xml:space="preserve">13. OBRIGAÇÕES DA CONTRATANTE</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13.1. Exigir o cumprimento de todas as obrigações assumidas pela Contratada, de acordo com as cláusulas contratuais e os termos de sua proposta;</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13.3. 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13.4. Pagar à Contratada o valor resultante da prestação do serviço, no prazo e condições estabelecidas neste Termo de Referência;</w:t>
      </w:r>
    </w:p>
    <w:p>
      <w:pPr>
        <w:widowControl w:val="false"/>
        <w:spacing w:before="120" w:after="120" w:line="276"/>
        <w:ind w:right="0" w:left="62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13.5. Efetuar as retenções tributárias devidas sobre o valor da Nota Fiscal/Fatura da contratada, no que couber, em conformidade com o item 6 do Anexo XI da IN SEGES/MP n. 5/2017.</w:t>
      </w:r>
    </w:p>
    <w:p>
      <w:pPr>
        <w:widowControl w:val="false"/>
        <w:spacing w:before="120" w:after="120" w:line="276"/>
        <w:ind w:right="0" w:left="62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13.6. Não praticar atos de ingerência na administração da Contratada, tais como:</w:t>
      </w:r>
    </w:p>
    <w:p>
      <w:pPr>
        <w:widowControl w:val="false"/>
        <w:spacing w:before="120" w:after="120" w:line="276"/>
        <w:ind w:right="0" w:left="3056"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13.6.1. exercer o poder de mando sobre os empregados da Contratada, devendo reportar-se somente aos prepostos ou responsáveis por ela indicados, exceto quando o objeto da contratação previr o atendimento direto, tais como nos serviços de recepção e apoio ao usuário;</w:t>
      </w:r>
    </w:p>
    <w:p>
      <w:pPr>
        <w:widowControl w:val="false"/>
        <w:spacing w:before="120" w:after="120" w:line="276"/>
        <w:ind w:right="0" w:left="305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13.6.2. direcionar a contratação de pessoas para trabalhar nas empresas Contratadas;</w:t>
      </w:r>
    </w:p>
    <w:p>
      <w:pPr>
        <w:widowControl w:val="false"/>
        <w:spacing w:before="120" w:after="120" w:line="276"/>
        <w:ind w:right="0" w:left="3056"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13.6.3. considerar os trabalhadores da Contratada como colaboradores eventuais do próprio órgão ou entidade responsável pela contratação, especialmente para efeito de concessão de diárias e passagens.</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13.7. Fornecer por escrito as informações necessárias para o desenvolvimento dos serviços objeto </w:t>
      </w:r>
      <w:r>
        <w:rPr>
          <w:rFonts w:ascii="Arial" w:hAnsi="Arial" w:cs="Arial" w:eastAsia="Arial"/>
          <w:color w:val="000000"/>
          <w:spacing w:val="0"/>
          <w:position w:val="0"/>
          <w:sz w:val="20"/>
          <w:shd w:fill="auto" w:val="clear"/>
        </w:rPr>
        <w:t xml:space="preserve">do contrato;</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13.8. Realizar avaliações periódicas da qualidade dos serviços, após seu recebimento;</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13.9. Cientificar o órgão de representação judicial da Advocacia-Geral da União para adoção das medidas cabíveis quando do descumprimento das obrigações pela Contratada; </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13.10. Arquivar, entre outros documentos, projetos, "as built", especificações técnicas, orçamentos, termos de recebimento, contratos e aditamentos, relatórios de inspeções técnicas após o recebimento do serviço e notificações expedidas;</w:t>
      </w:r>
    </w:p>
    <w:p>
      <w:pPr>
        <w:widowControl w:val="false"/>
        <w:spacing w:before="120" w:after="120" w:line="276"/>
        <w:ind w:right="0" w:left="68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13.11. Fiscalizar o cumprimento dos requisitos legais, quando a contratada houver se beneficiado da preferência estabelecida pelo art. 3º, § 5º, da Lei nº 8.666, de 1993.</w:t>
      </w:r>
    </w:p>
    <w:p>
      <w:pPr>
        <w:keepNext w:val="true"/>
        <w:keepLines w:val="true"/>
        <w:widowControl w:val="false"/>
        <w:spacing w:before="480" w:after="0" w:line="276"/>
        <w:ind w:right="0" w:left="737"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14. OBRIGAÇÕES DA CONTRATADA</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14.1. 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14.2. Reparar, corrigir, remover ou substituir, às suas expensas, no total ou em parte, no prazo fixado pelo fiscal do contrato, os serviços efetuados em que se verificarem vícios, defeitos ou incorreções resultantes da execução ou dos materiais empregados;</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14.3. 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14.4. Utilizar empregados habilitados e com conhecimentos básicos dos serviços a serem executados, em conformidade com as normas e determinações em vigor;</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14.5. Vedar a utilização, na execução dos serviços, de empregado que seja familiar de agente público ocupante de cargo em comissão ou função de confiança no órgão Contratante, nos termos do artigo 7° do Decreto n° 7.203, de 2010;</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14.6. Quando não for possível a verificação da regularidade no Sistema de Cadastro de Fornecedores </w:t>
      </w:r>
      <w:r>
        <w:rPr>
          <w:rFonts w:ascii="Arial" w:hAnsi="Arial" w:cs="Arial" w:eastAsia="Arial"/>
          <w:color w:val="000000"/>
          <w:spacing w:val="0"/>
          <w:position w:val="0"/>
          <w:sz w:val="20"/>
          <w:shd w:fill="auto" w:val="clear"/>
        </w:rPr>
        <w:t xml:space="preserve">–</w:t>
      </w:r>
      <w:r>
        <w:rPr>
          <w:rFonts w:ascii="Arial" w:hAnsi="Arial" w:cs="Arial" w:eastAsia="Arial"/>
          <w:color w:val="000000"/>
          <w:spacing w:val="0"/>
          <w:position w:val="0"/>
          <w:sz w:val="20"/>
          <w:shd w:fill="auto" w:val="clear"/>
        </w:rPr>
        <w:t xml:space="preserve"> SICAF, a empresa contratada dever</w:t>
      </w:r>
      <w:r>
        <w:rPr>
          <w:rFonts w:ascii="Arial" w:hAnsi="Arial" w:cs="Arial" w:eastAsia="Arial"/>
          <w:color w:val="000000"/>
          <w:spacing w:val="0"/>
          <w:position w:val="0"/>
          <w:sz w:val="20"/>
          <w:shd w:fill="auto" w:val="clear"/>
        </w:rPr>
        <w:t xml:space="preserve">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w:t>
      </w:r>
      <w:r>
        <w:rPr>
          <w:rFonts w:ascii="Arial" w:hAnsi="Arial" w:cs="Arial" w:eastAsia="Arial"/>
          <w:color w:val="00000A"/>
          <w:spacing w:val="0"/>
          <w:position w:val="0"/>
          <w:sz w:val="20"/>
          <w:shd w:fill="auto" w:val="clear"/>
        </w:rPr>
        <w:t xml:space="preserve">perante a Fazenda Municipal ou Distrital do domicílio ou sede do contratado; 4) Certidão de Regularidade do FGTS </w:t>
      </w:r>
      <w:r>
        <w:rPr>
          <w:rFonts w:ascii="Arial" w:hAnsi="Arial" w:cs="Arial" w:eastAsia="Arial"/>
          <w:color w:val="00000A"/>
          <w:spacing w:val="0"/>
          <w:position w:val="0"/>
          <w:sz w:val="20"/>
          <w:shd w:fill="auto" w:val="clear"/>
        </w:rPr>
        <w:t xml:space="preserve">–</w:t>
      </w:r>
      <w:r>
        <w:rPr>
          <w:rFonts w:ascii="Arial" w:hAnsi="Arial" w:cs="Arial" w:eastAsia="Arial"/>
          <w:color w:val="00000A"/>
          <w:spacing w:val="0"/>
          <w:position w:val="0"/>
          <w:sz w:val="20"/>
          <w:shd w:fill="auto" w:val="clear"/>
        </w:rPr>
        <w:t xml:space="preserve"> CRF; e 5) Certid</w:t>
      </w:r>
      <w:r>
        <w:rPr>
          <w:rFonts w:ascii="Arial" w:hAnsi="Arial" w:cs="Arial" w:eastAsia="Arial"/>
          <w:color w:val="00000A"/>
          <w:spacing w:val="0"/>
          <w:position w:val="0"/>
          <w:sz w:val="20"/>
          <w:shd w:fill="auto" w:val="clear"/>
        </w:rPr>
        <w:t xml:space="preserve">ão Negativa de Débitos Trabalhistas </w:t>
      </w:r>
      <w:r>
        <w:rPr>
          <w:rFonts w:ascii="Arial" w:hAnsi="Arial" w:cs="Arial" w:eastAsia="Arial"/>
          <w:color w:val="00000A"/>
          <w:spacing w:val="0"/>
          <w:position w:val="0"/>
          <w:sz w:val="20"/>
          <w:shd w:fill="auto" w:val="clear"/>
        </w:rPr>
        <w:t xml:space="preserve">–</w:t>
      </w:r>
      <w:r>
        <w:rPr>
          <w:rFonts w:ascii="Arial" w:hAnsi="Arial" w:cs="Arial" w:eastAsia="Arial"/>
          <w:color w:val="00000A"/>
          <w:spacing w:val="0"/>
          <w:position w:val="0"/>
          <w:sz w:val="20"/>
          <w:shd w:fill="auto" w:val="clear"/>
        </w:rPr>
        <w:t xml:space="preserve"> CNDT, conforme al</w:t>
      </w:r>
      <w:r>
        <w:rPr>
          <w:rFonts w:ascii="Arial" w:hAnsi="Arial" w:cs="Arial" w:eastAsia="Arial"/>
          <w:color w:val="00000A"/>
          <w:spacing w:val="0"/>
          <w:position w:val="0"/>
          <w:sz w:val="20"/>
          <w:shd w:fill="auto" w:val="clear"/>
        </w:rPr>
        <w:t xml:space="preserve">ínea "c" do item 10.2 do Anexo VIII-B da IN SEGES/MP n. 5/2017; </w:t>
        <w:tab/>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auto"/>
          <w:spacing w:val="0"/>
          <w:position w:val="0"/>
          <w:sz w:val="20"/>
          <w:shd w:fill="auto" w:val="clear"/>
        </w:rPr>
        <w:t xml:space="preserve">14.7. </w:t>
      </w:r>
      <w:r>
        <w:rPr>
          <w:rFonts w:ascii="Arial" w:hAnsi="Arial" w:cs="Arial" w:eastAsia="Arial"/>
          <w:b/>
          <w:color w:val="0070C0"/>
          <w:spacing w:val="0"/>
          <w:position w:val="0"/>
          <w:sz w:val="20"/>
          <w:shd w:fill="auto" w:val="clear"/>
        </w:rPr>
        <w:t xml:space="preserve"> </w:t>
      </w:r>
      <w:r>
        <w:rPr>
          <w:rFonts w:ascii="Arial" w:hAnsi="Arial" w:cs="Arial" w:eastAsia="Arial"/>
          <w:color w:val="00000A"/>
          <w:spacing w:val="0"/>
          <w:position w:val="0"/>
          <w:sz w:val="20"/>
          <w:shd w:fill="auto" w:val="clear"/>
        </w:rPr>
        <w:t xml:space="preserve">Responsabilizar</w:t>
      </w:r>
      <w:r>
        <w:rPr>
          <w:rFonts w:ascii="Arial" w:hAnsi="Arial" w:cs="Arial" w:eastAsia="Arial"/>
          <w:color w:val="000000"/>
          <w:spacing w:val="0"/>
          <w:position w:val="0"/>
          <w:sz w:val="20"/>
          <w:shd w:fill="auto" w:val="clear"/>
        </w:rPr>
        <w:t xml:space="preserve">-se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14.8. Comunicar ao Fiscal do contrato, no prazo de 24 (vinte e quatro) horas, qualquer ocorrência anormal ou </w:t>
      </w:r>
      <w:r>
        <w:rPr>
          <w:rFonts w:ascii="Arial" w:hAnsi="Arial" w:cs="Arial" w:eastAsia="Arial"/>
          <w:color w:val="000000"/>
          <w:spacing w:val="0"/>
          <w:position w:val="0"/>
          <w:sz w:val="20"/>
          <w:shd w:fill="auto" w:val="clear"/>
        </w:rPr>
        <w:t xml:space="preserve">acidente</w:t>
      </w:r>
      <w:r>
        <w:rPr>
          <w:rFonts w:ascii="Arial" w:hAnsi="Arial" w:cs="Arial" w:eastAsia="Arial"/>
          <w:color w:val="00000A"/>
          <w:spacing w:val="0"/>
          <w:position w:val="0"/>
          <w:sz w:val="20"/>
          <w:shd w:fill="auto" w:val="clear"/>
        </w:rPr>
        <w:t xml:space="preserve"> que se verifique no local dos serviços.</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14.9. Prestar todo esclarecimento ou informação solicitada pela Contratante ou por seus prepostos, garantindo-lhes o acesso, a qualquer tempo, ao local dos trabalhos, bem como aos documentos relativos à execução do empreendimento.</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14.10. Paralisar, por determinação da Contratante, qualquer atividade que não esteja sendo executada de acordo com a boa técnica ou que ponha em risco a segurança de pessoas ou bens de terceiros.</w:t>
      </w: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14.11. Promover a guarda, manutenção e vigilância de materiais, ferramentas, e tudo o que for necessário à execução dos serviços, durante a vigência do contrato.</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14.12. Promover a organização técnica e administrativa dos serviços, de modo a conduzi-los eficaz e eficientemente, de acordo com os documentos e especificações que integram este Termo de Referência, no prazo determinado.</w:t>
      </w:r>
    </w:p>
    <w:p>
      <w:pPr>
        <w:widowControl w:val="false"/>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14.13. Conduzir os trabalhos com estrita observância às normas da legislação pertinente, cumprindo as determinações dos Poderes Públicos, mantendo sempre limpo o local dos serviços e nas melhores condições de segurança, higiene e disciplina.</w:t>
      </w:r>
    </w:p>
    <w:p>
      <w:pPr>
        <w:widowControl w:val="false"/>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14.14. Submeter previamente, por escrito, à Contratante, para análise e aprovação, quaisquer mudanças nos métodos executivos que fujam às especificações do memorial descritivo.</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14.15. Não permitir a utilização de qualquer trabalho do menor de dezesseis anos, exceto na condição de aprendiz para os maiores de quatorze anos; nem permitir a utilização do trabalho do menor de dezoito anos em trabalho noturno, perigoso ou insalubre;</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14.16.  Manter durante toda a vigência do contrato, em compatibilidade com as obrigações assumidas, todas as condições de habilitação e qualificação exigidas na licitação;</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14.17.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14.18. Guardar sigilo sobre todas as informações obtidas em decorrência do cumprimento do contrato;</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14.19. Arcar com o ônus decorrente de eventual equívoco no dimensionamento dos quantitativos de sua proposta, inclusive quanto aos custos variáveis decorrentes de fatores futuros e incertos, tais como os valores providos com o quantitativo de vale-transporte, devendo complementá-los, caso o previsto inicialmente em sua proposta não seja satisfatório para o atendimento do objeto da licitação, exceto quando ocorrer algum dos eventos arrolados nos incisos do § 1º do art. 57 da Lei nº 8.666, de 1993.</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A"/>
          <w:spacing w:val="0"/>
          <w:position w:val="0"/>
          <w:sz w:val="20"/>
          <w:shd w:fill="auto" w:val="clear"/>
        </w:rPr>
        <w:t xml:space="preserve">14.20. Cumprir, além dos postulados legais vigentes de âmbito federal, estadual ou municipal, as normas de segurança da Contratante;</w:t>
      </w:r>
    </w:p>
    <w:p>
      <w:pPr>
        <w:widowControl w:val="false"/>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14.21. Prestar os serviços dentro dos parâmetros e rotinas estabelecidos, fornecendo todos os materiais, equipamentos e utensílios em quantidade, qualidade e tecnologia adequadas, com a observância às recomendações aceitas pela boa técnica, normas e legislação;</w:t>
      </w:r>
    </w:p>
    <w:p>
      <w:pPr>
        <w:widowControl w:val="false"/>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14.22. Assegurar à CONTRATANTE, em conformidade com o previsto no subitem 6.1, “a”e “b”, do Anexo VII </w:t>
      </w:r>
      <w:r>
        <w:rPr>
          <w:rFonts w:ascii="Arial" w:hAnsi="Arial" w:cs="Arial" w:eastAsia="Arial"/>
          <w:color w:val="00000A"/>
          <w:spacing w:val="0"/>
          <w:position w:val="0"/>
          <w:sz w:val="20"/>
          <w:shd w:fill="auto" w:val="clear"/>
        </w:rPr>
        <w:t xml:space="preserve">–</w:t>
      </w:r>
      <w:r>
        <w:rPr>
          <w:rFonts w:ascii="Arial" w:hAnsi="Arial" w:cs="Arial" w:eastAsia="Arial"/>
          <w:color w:val="00000A"/>
          <w:spacing w:val="0"/>
          <w:position w:val="0"/>
          <w:sz w:val="20"/>
          <w:shd w:fill="auto" w:val="clear"/>
        </w:rPr>
        <w:t xml:space="preserve"> F da Instru</w:t>
      </w:r>
      <w:r>
        <w:rPr>
          <w:rFonts w:ascii="Arial" w:hAnsi="Arial" w:cs="Arial" w:eastAsia="Arial"/>
          <w:color w:val="00000A"/>
          <w:spacing w:val="0"/>
          <w:position w:val="0"/>
          <w:sz w:val="20"/>
          <w:shd w:fill="auto" w:val="clear"/>
        </w:rPr>
        <w:t xml:space="preserve">ção Normativa SEGES/MP nº 5, de 25/05/2017:</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14.22.1. 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14.22.2. 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widowControl w:val="false"/>
        <w:spacing w:before="120" w:after="120" w:line="276"/>
        <w:ind w:right="0" w:left="425" w:firstLine="0"/>
        <w:jc w:val="both"/>
        <w:rPr>
          <w:rFonts w:ascii="Arial" w:hAnsi="Arial" w:cs="Arial" w:eastAsia="Arial"/>
          <w:color w:val="FF0000"/>
          <w:spacing w:val="0"/>
          <w:position w:val="0"/>
          <w:sz w:val="20"/>
          <w:shd w:fill="auto" w:val="clear"/>
        </w:rPr>
      </w:pPr>
    </w:p>
    <w:p>
      <w:pPr>
        <w:keepNext w:val="true"/>
        <w:keepLines w:val="true"/>
        <w:widowControl w:val="false"/>
        <w:spacing w:before="480" w:after="0" w:line="276"/>
        <w:ind w:right="0" w:left="644"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15. DA SUBCONTRATAÇÃO  </w:t>
      </w:r>
    </w:p>
    <w:p>
      <w:pPr>
        <w:keepNext w:val="true"/>
        <w:keepLines w:val="true"/>
        <w:widowControl w:val="false"/>
        <w:spacing w:before="480" w:after="120" w:line="276"/>
        <w:ind w:right="0" w:left="716" w:firstLine="0"/>
        <w:jc w:val="both"/>
        <w:rPr>
          <w:rFonts w:ascii="Arial" w:hAnsi="Arial" w:cs="Arial" w:eastAsia="Arial"/>
          <w:b/>
          <w:color w:val="000000"/>
          <w:spacing w:val="0"/>
          <w:position w:val="0"/>
          <w:sz w:val="20"/>
          <w:shd w:fill="auto" w:val="clear"/>
        </w:rPr>
      </w:pPr>
      <w:r>
        <w:rPr>
          <w:rFonts w:ascii="Arial" w:hAnsi="Arial" w:cs="Arial" w:eastAsia="Arial"/>
          <w:color w:val="000000"/>
          <w:spacing w:val="0"/>
          <w:position w:val="0"/>
          <w:sz w:val="20"/>
          <w:shd w:fill="auto" w:val="clear"/>
        </w:rPr>
        <w:t xml:space="preserve">15.1. Não será admitida a subcontratação do objeto licitatório.</w:t>
      </w:r>
    </w:p>
    <w:p>
      <w:pPr>
        <w:keepNext w:val="true"/>
        <w:keepLines w:val="true"/>
        <w:widowControl w:val="false"/>
        <w:spacing w:before="480" w:after="0" w:line="276"/>
        <w:ind w:right="0" w:left="644"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16. ALTERAÇÃO SUBJETIVA</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16.1.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keepNext w:val="true"/>
        <w:keepLines w:val="true"/>
        <w:widowControl w:val="false"/>
        <w:spacing w:before="480" w:after="0" w:line="276"/>
        <w:ind w:right="0" w:left="644"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17. CONTROLE E FISCALIZAÇÃO DA EXECUÇÃO </w:t>
      </w:r>
    </w:p>
    <w:p>
      <w:pPr>
        <w:widowControl w:val="false"/>
        <w:spacing w:before="120" w:after="120" w:line="276"/>
        <w:ind w:right="0" w:left="425" w:firstLine="0"/>
        <w:jc w:val="both"/>
        <w:rPr>
          <w:rFonts w:ascii="Arial" w:hAnsi="Arial" w:cs="Arial" w:eastAsia="Arial"/>
          <w:color w:val="00000A"/>
          <w:spacing w:val="0"/>
          <w:position w:val="0"/>
          <w:sz w:val="20"/>
          <w:shd w:fill="auto" w:val="clear"/>
        </w:rPr>
      </w:pP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17.2. O representante da Contratante deverá ter a qualificação necessária para o acompanhamento e controle da execução dos serviços e do contrato.</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17.3. A verificação da adequação da prestação do serviço deverá ser realizada com base nos critérios previstos neste Termo de Referência.</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17.4.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17.5. A conformidade do material/técnica/equipamento a ser utilizado na execução dos serviços deverá ser verificada junto ao documento da Contratada que contenha a relação detalhada dos mesmos, de acordo com o estabelecido neste Termo de Referência, informando as respectivas quantidades e especificações técnicas, tais como: marca, qualidade e forma de uso.</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O representante da Contratante deverá promover o registro das ocorrências verificadas, adotando as providências necessárias ao fiel cumprimento das cláusulas contratuais, conforme o disposto nos §§ 1º e 2º do art. 67 da Lei nº 8.666, de 1993.</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17.6. 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17.7.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widowControl w:val="false"/>
        <w:spacing w:before="120" w:after="120" w:line="276"/>
        <w:ind w:right="0" w:left="7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17.8. A fiscalização técnica dos contratos avaliará constantemente a execução do objeto e  devendo haver o redimensionamento no pagamento com base nos indicadores estabelecidos, sempre que a CONTRATADA:</w:t>
      </w:r>
    </w:p>
    <w:p>
      <w:pPr>
        <w:widowControl w:val="false"/>
        <w:spacing w:before="120" w:after="120" w:line="276"/>
        <w:ind w:right="0" w:left="14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a) não produzir os resultados, deixar de executar, ou não executar com a qualidade mínima exigida as atividades contratadas; ou</w:t>
      </w:r>
    </w:p>
    <w:p>
      <w:pPr>
        <w:widowControl w:val="false"/>
        <w:spacing w:before="120" w:after="120" w:line="276"/>
        <w:ind w:right="0" w:left="141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b) deixar de utilizar materiais e recursos humanos exigidos para a execução do serviço, ou utilizá-los com qualidade ou quantidade inferior à demandada.</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17.9. A utilização do IMR não impede a aplicação concomitante de outros mecanismos para a avaliação da prestação dos serviços.</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17.10. Durante a execução do objeto, o fiscal técnico deverá monitorar constantemente o nível de qualidade dos serviços para evitar a sua degeneração, devendo intervir para requerer à CONTRATADA a correção das faltas, falhas e irregularidades constatadas.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17.11. O fiscal técnico deverá apresentar ao preposto da CONTRATADA a avaliação da execução do objeto ou, se for o caso, a avaliação de desempenho e qualidade da prestação dos serviços realizada.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17.12.   Em hipótese alguma, será admitido que a própria CONTRATADA materialize a avaliação de desempenho e qualidade da prestação dos serviços realizada.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17.13.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17.14.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17.15.   O fiscal técnico poderá realizar avaliação diária, semanal ou mensal, desde que o período escolhido seja suficiente para avaliar ou, se for o caso, aferir o desempenho e qualidade da prestação dos serviços.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17.16.   A conformidade do material a ser utilizado na execução dos serviços deverá ser verificada junto ao documento da CONTRATADA que contenha sua relação detalhada, de acordo com o estabelecido neste Termo de Referência e na proposta, informando as respectivas quantidades e especificações técnicas, tais como: marca, qualidade e forma de uso. </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17.17.   As disposições previstas nesta cláusula não excluem o disposto no Anexo VIII da Instrução Normativa SLTI/MP nº 05, de 2017, aplicável no que for pertinente à contratação.</w:t>
      </w:r>
    </w:p>
    <w:p>
      <w:pPr>
        <w:widowControl w:val="false"/>
        <w:tabs>
          <w:tab w:val="left" w:pos="1188" w:leader="none"/>
        </w:tabs>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17.18.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pPr>
        <w:keepNext w:val="true"/>
        <w:keepLines w:val="true"/>
        <w:widowControl w:val="false"/>
        <w:spacing w:before="480" w:after="0" w:line="276"/>
        <w:ind w:right="0" w:left="644" w:firstLine="0"/>
        <w:jc w:val="both"/>
        <w:rPr>
          <w:rFonts w:ascii="Arial" w:hAnsi="Arial" w:cs="Arial" w:eastAsia="Arial"/>
          <w:b/>
          <w:color w:val="000000"/>
          <w:spacing w:val="0"/>
          <w:position w:val="0"/>
          <w:sz w:val="20"/>
          <w:shd w:fill="auto" w:val="clear"/>
        </w:rPr>
      </w:pPr>
      <w:r>
        <w:rPr>
          <w:rFonts w:ascii="Arial" w:hAnsi="Arial" w:cs="Arial" w:eastAsia="Arial"/>
          <w:b/>
          <w:color w:val="00000A"/>
          <w:spacing w:val="0"/>
          <w:position w:val="0"/>
          <w:sz w:val="20"/>
          <w:shd w:fill="auto" w:val="clear"/>
        </w:rPr>
        <w:t xml:space="preserve">18. DO RECEBIMENTO E ACEITAÇÃO DO OBJETO  </w:t>
      </w:r>
    </w:p>
    <w:p>
      <w:pPr>
        <w:widowControl w:val="false"/>
        <w:spacing w:before="120" w:after="120" w:line="276"/>
        <w:ind w:right="0" w:left="79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18.1.    A emissão da Nota Fiscal/Fatura deve ser precedida do recebimento definitivo dos serviços, nos termos abaixo. </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A"/>
          <w:spacing w:val="0"/>
          <w:position w:val="0"/>
          <w:sz w:val="20"/>
          <w:shd w:fill="auto" w:val="clear"/>
        </w:rPr>
        <w:t xml:space="preserve">18.2.      No</w:t>
      </w:r>
      <w:r>
        <w:rPr>
          <w:rFonts w:ascii="Arial" w:hAnsi="Arial" w:cs="Arial" w:eastAsia="Arial"/>
          <w:color w:val="000000"/>
          <w:spacing w:val="0"/>
          <w:position w:val="0"/>
          <w:sz w:val="20"/>
          <w:shd w:fill="auto" w:val="clear"/>
        </w:rPr>
        <w:t xml:space="preserve"> prazo de até </w:t>
      </w:r>
      <w:r>
        <w:rPr>
          <w:rFonts w:ascii="Arial" w:hAnsi="Arial" w:cs="Arial" w:eastAsia="Arial"/>
          <w:color w:val="auto"/>
          <w:spacing w:val="0"/>
          <w:position w:val="0"/>
          <w:sz w:val="20"/>
          <w:shd w:fill="auto" w:val="clear"/>
        </w:rPr>
        <w:t xml:space="preserve">5 dias corridos</w:t>
      </w:r>
      <w:r>
        <w:rPr>
          <w:rFonts w:ascii="Arial" w:hAnsi="Arial" w:cs="Arial" w:eastAsia="Arial"/>
          <w:color w:val="FF0000"/>
          <w:spacing w:val="0"/>
          <w:position w:val="0"/>
          <w:sz w:val="20"/>
          <w:shd w:fill="auto" w:val="clear"/>
        </w:rPr>
        <w:t xml:space="preserve"> </w:t>
      </w:r>
      <w:r>
        <w:rPr>
          <w:rFonts w:ascii="Arial" w:hAnsi="Arial" w:cs="Arial" w:eastAsia="Arial"/>
          <w:color w:val="000000"/>
          <w:spacing w:val="0"/>
          <w:position w:val="0"/>
          <w:sz w:val="20"/>
          <w:shd w:fill="auto" w:val="clear"/>
        </w:rPr>
        <w:t xml:space="preserve">do adimplemento da parcela, a CONTRATADA deverá entregar toda a documentação comprobatória do cumprimento da obrigação contratual;  </w:t>
      </w:r>
    </w:p>
    <w:p>
      <w:pPr>
        <w:widowControl w:val="false"/>
        <w:spacing w:before="120" w:after="120" w:line="276"/>
        <w:ind w:right="0" w:left="794" w:firstLine="0"/>
        <w:jc w:val="both"/>
        <w:rPr>
          <w:rFonts w:ascii="Arial" w:hAnsi="Arial" w:cs="Arial" w:eastAsia="Arial"/>
          <w:color w:val="000000"/>
          <w:spacing w:val="0"/>
          <w:position w:val="0"/>
          <w:sz w:val="20"/>
          <w:shd w:fill="auto" w:val="clear"/>
        </w:rPr>
      </w:pPr>
      <w:r>
        <w:rPr>
          <w:rFonts w:ascii="Arial" w:hAnsi="Arial" w:cs="Arial" w:eastAsia="Arial"/>
          <w:color w:val="00000A"/>
          <w:spacing w:val="0"/>
          <w:position w:val="0"/>
          <w:sz w:val="20"/>
          <w:shd w:fill="auto" w:val="clear"/>
        </w:rPr>
        <w:t xml:space="preserve">18.3.     O recebimento provisório será realizado pelo</w:t>
      </w:r>
      <w:r>
        <w:rPr>
          <w:rFonts w:ascii="Arial" w:hAnsi="Arial" w:cs="Arial" w:eastAsia="Arial"/>
          <w:color w:val="FF0000"/>
          <w:spacing w:val="0"/>
          <w:position w:val="0"/>
          <w:sz w:val="20"/>
          <w:shd w:fill="auto" w:val="clear"/>
        </w:rPr>
        <w:t xml:space="preserve"> </w:t>
      </w:r>
      <w:r>
        <w:rPr>
          <w:rFonts w:ascii="Arial" w:hAnsi="Arial" w:cs="Arial" w:eastAsia="Arial"/>
          <w:color w:val="000000"/>
          <w:spacing w:val="0"/>
          <w:position w:val="0"/>
          <w:sz w:val="20"/>
          <w:shd w:fill="auto" w:val="clear"/>
        </w:rPr>
        <w:t xml:space="preserve">fiscal técnico e setorial ou pela equipe de fiscalização</w:t>
      </w:r>
      <w:r>
        <w:rPr>
          <w:rFonts w:ascii="Arial" w:hAnsi="Arial" w:cs="Arial" w:eastAsia="Arial"/>
          <w:color w:val="00000A"/>
          <w:spacing w:val="0"/>
          <w:position w:val="0"/>
          <w:sz w:val="20"/>
          <w:shd w:fill="auto" w:val="clear"/>
        </w:rPr>
        <w:t xml:space="preserve"> após a entrega da documentação acima, da seguinte forma:</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18.3.1 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widowControl w:val="false"/>
        <w:spacing w:before="120" w:after="120" w:line="276"/>
        <w:ind w:right="0" w:left="198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18.3.2. Para efeito de recebimento provisório, ao final de cada período de faturamento, o fiscal técnico do contrato apurará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widowControl w:val="false"/>
        <w:spacing w:before="120" w:after="120" w:line="276"/>
        <w:ind w:right="0" w:left="198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18.3.3.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widowControl w:val="false"/>
        <w:spacing w:before="120" w:after="120" w:line="276"/>
        <w:ind w:right="0" w:left="1928"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18.3.4. O recebimento provisório também ficará sujeito, quando cabível, à conclusão de todos os testes de campo e à entrega dos Manuais e Instruções exigíveis.</w:t>
      </w:r>
    </w:p>
    <w:p>
      <w:pPr>
        <w:widowControl w:val="false"/>
        <w:spacing w:before="120" w:after="120" w:line="276"/>
        <w:ind w:right="0" w:left="3211" w:firstLine="0"/>
        <w:jc w:val="both"/>
        <w:rPr>
          <w:rFonts w:ascii="Arial" w:hAnsi="Arial" w:cs="Arial" w:eastAsia="Arial"/>
          <w:color w:val="000000"/>
          <w:spacing w:val="0"/>
          <w:position w:val="0"/>
          <w:sz w:val="20"/>
          <w:shd w:fill="auto" w:val="clear"/>
        </w:rPr>
      </w:pPr>
    </w:p>
    <w:p>
      <w:pPr>
        <w:widowControl w:val="false"/>
        <w:spacing w:before="120" w:after="120" w:line="276"/>
        <w:ind w:right="0" w:left="141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18.3.5.No prazo de até </w:t>
      </w:r>
      <w:r>
        <w:rPr>
          <w:rFonts w:ascii="Arial" w:hAnsi="Arial" w:cs="Arial" w:eastAsia="Arial"/>
          <w:color w:val="auto"/>
          <w:spacing w:val="0"/>
          <w:position w:val="0"/>
          <w:sz w:val="20"/>
          <w:shd w:fill="auto" w:val="clear"/>
        </w:rPr>
        <w:t xml:space="preserve">10 dias corridos</w:t>
      </w:r>
      <w:r>
        <w:rPr>
          <w:rFonts w:ascii="Arial" w:hAnsi="Arial" w:cs="Arial" w:eastAsia="Arial"/>
          <w:color w:val="FF0000"/>
          <w:spacing w:val="0"/>
          <w:position w:val="0"/>
          <w:sz w:val="20"/>
          <w:shd w:fill="auto" w:val="clear"/>
        </w:rPr>
        <w:t xml:space="preserve"> </w:t>
      </w:r>
      <w:r>
        <w:rPr>
          <w:rFonts w:ascii="Arial" w:hAnsi="Arial" w:cs="Arial" w:eastAsia="Arial"/>
          <w:color w:val="000000"/>
          <w:spacing w:val="0"/>
          <w:position w:val="0"/>
          <w:sz w:val="20"/>
          <w:shd w:fill="auto" w:val="clear"/>
        </w:rPr>
        <w:t xml:space="preserve">a partir do recebimento dos documentos da CONTRATADA, cada fiscal ou a equipe de fiscalização deverá elaborar Relatório Circunstanciado em consonância com suas atribuições, e encaminhá-lo ao gestor do contrato. </w:t>
      </w:r>
    </w:p>
    <w:p>
      <w:pPr>
        <w:widowControl w:val="false"/>
        <w:spacing w:before="120" w:after="120" w:line="276"/>
        <w:ind w:right="0" w:left="1417" w:firstLine="0"/>
        <w:jc w:val="both"/>
        <w:rPr>
          <w:rFonts w:ascii="Arial" w:hAnsi="Arial" w:cs="Arial" w:eastAsia="Arial"/>
          <w:color w:val="000000"/>
          <w:spacing w:val="0"/>
          <w:position w:val="0"/>
          <w:sz w:val="20"/>
          <w:shd w:fill="auto" w:val="clear"/>
        </w:rPr>
      </w:pPr>
      <w:r>
        <w:rPr>
          <w:rFonts w:ascii="Arial" w:hAnsi="Arial" w:cs="Arial" w:eastAsia="Arial"/>
          <w:color w:val="00000A"/>
          <w:spacing w:val="0"/>
          <w:position w:val="0"/>
          <w:sz w:val="20"/>
          <w:shd w:fill="auto" w:val="clear"/>
        </w:rPr>
        <w:t xml:space="preserve">18.3.6. quando a fiscalização for exercida por um único servidor, o relatório circunstanciado </w:t>
      </w:r>
      <w:r>
        <w:rPr>
          <w:rFonts w:ascii="Arial" w:hAnsi="Arial" w:cs="Arial" w:eastAsia="Arial"/>
          <w:color w:val="000000"/>
          <w:spacing w:val="0"/>
          <w:position w:val="0"/>
          <w:sz w:val="20"/>
          <w:shd w:fill="auto" w:val="clear"/>
        </w:rPr>
        <w:t xml:space="preserve">deverá</w:t>
      </w:r>
      <w:r>
        <w:rPr>
          <w:rFonts w:ascii="Arial" w:hAnsi="Arial" w:cs="Arial" w:eastAsia="Arial"/>
          <w:color w:val="00000A"/>
          <w:spacing w:val="0"/>
          <w:position w:val="0"/>
          <w:sz w:val="20"/>
          <w:shd w:fill="auto" w:val="clear"/>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widowControl w:val="false"/>
        <w:spacing w:before="120" w:after="120" w:line="276"/>
        <w:ind w:right="0" w:left="1474" w:firstLine="0"/>
        <w:jc w:val="both"/>
        <w:rPr>
          <w:rFonts w:ascii="Arial" w:hAnsi="Arial" w:cs="Arial" w:eastAsia="Arial"/>
          <w:color w:val="000000"/>
          <w:spacing w:val="0"/>
          <w:position w:val="0"/>
          <w:sz w:val="20"/>
          <w:shd w:fill="auto" w:val="clear"/>
        </w:rPr>
      </w:pPr>
      <w:r>
        <w:rPr>
          <w:rFonts w:ascii="Arial" w:hAnsi="Arial" w:cs="Arial" w:eastAsia="Arial"/>
          <w:color w:val="00000A"/>
          <w:spacing w:val="0"/>
          <w:position w:val="0"/>
          <w:sz w:val="20"/>
          <w:shd w:fill="auto" w:val="clear"/>
        </w:rPr>
        <w:t xml:space="preserve">18.3.7 Será considerado como ocorrido o recebimento provisório com a entrega do relatório circunstanciado ou, em havendo mais de um a ser feito, com a entrega do último. </w:t>
      </w:r>
    </w:p>
    <w:p>
      <w:pPr>
        <w:widowControl w:val="false"/>
        <w:spacing w:before="120" w:after="120" w:line="276"/>
        <w:ind w:right="0" w:left="1417"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18.3.7.1.Na hipótese de a verificação a que se refere o parágrafo anterior não ser procedida tempestivamente, reputar-se-á como realizada, consumando-se o recebimento provisório no dia do esgotamento do prazo.</w:t>
      </w:r>
    </w:p>
    <w:p>
      <w:pPr>
        <w:widowControl w:val="false"/>
        <w:spacing w:before="120" w:after="120" w:line="276"/>
        <w:ind w:right="0" w:left="141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18.4. No </w:t>
      </w:r>
      <w:r>
        <w:rPr>
          <w:rFonts w:ascii="Arial" w:hAnsi="Arial" w:cs="Arial" w:eastAsia="Arial"/>
          <w:color w:val="00000A"/>
          <w:spacing w:val="0"/>
          <w:position w:val="0"/>
          <w:sz w:val="20"/>
          <w:shd w:fill="auto" w:val="clear"/>
        </w:rPr>
        <w:t xml:space="preserve">prazo</w:t>
      </w:r>
      <w:r>
        <w:rPr>
          <w:rFonts w:ascii="Arial" w:hAnsi="Arial" w:cs="Arial" w:eastAsia="Arial"/>
          <w:color w:val="000000"/>
          <w:spacing w:val="0"/>
          <w:position w:val="0"/>
          <w:sz w:val="20"/>
          <w:shd w:fill="auto" w:val="clear"/>
        </w:rPr>
        <w:t xml:space="preserve"> de até </w:t>
      </w:r>
      <w:r>
        <w:rPr>
          <w:rFonts w:ascii="Arial" w:hAnsi="Arial" w:cs="Arial" w:eastAsia="Arial"/>
          <w:color w:val="auto"/>
          <w:spacing w:val="0"/>
          <w:position w:val="0"/>
          <w:sz w:val="20"/>
          <w:shd w:fill="auto" w:val="clear"/>
        </w:rPr>
        <w:t xml:space="preserve">10 (dez) dias corridos</w:t>
      </w:r>
      <w:r>
        <w:rPr>
          <w:rFonts w:ascii="Arial" w:hAnsi="Arial" w:cs="Arial" w:eastAsia="Arial"/>
          <w:color w:val="FF0000"/>
          <w:spacing w:val="0"/>
          <w:position w:val="0"/>
          <w:sz w:val="20"/>
          <w:shd w:fill="auto" w:val="clear"/>
        </w:rPr>
        <w:t xml:space="preserve"> </w:t>
      </w:r>
      <w:r>
        <w:rPr>
          <w:rFonts w:ascii="Arial" w:hAnsi="Arial" w:cs="Arial" w:eastAsia="Arial"/>
          <w:color w:val="000000"/>
          <w:spacing w:val="0"/>
          <w:position w:val="0"/>
          <w:sz w:val="20"/>
          <w:shd w:fill="auto" w:val="clear"/>
        </w:rPr>
        <w:t xml:space="preserve">a partir do recebimento provisório dos serviços, o Gestor do Contrato deverá providenciar o recebimento definitivo, ato que concretiza o ateste da execução dos serviços, obedecendo as seguintes diretrizes: </w:t>
      </w:r>
    </w:p>
    <w:p>
      <w:pPr>
        <w:widowControl w:val="false"/>
        <w:spacing w:before="120" w:after="120" w:line="276"/>
        <w:ind w:right="0" w:left="1531"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pPr>
        <w:widowControl w:val="false"/>
        <w:spacing w:before="120" w:after="120" w:line="276"/>
        <w:ind w:right="0" w:left="1474"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18.4.2. Emitir Termo Circunstanciado para efeito de recebimento definitivo dos serviços prestados, com base nos relatórios e documentações apresentadas; e </w:t>
      </w:r>
    </w:p>
    <w:p>
      <w:pPr>
        <w:widowControl w:val="false"/>
        <w:spacing w:before="120" w:after="120" w:line="276"/>
        <w:ind w:right="0" w:left="147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18.4.3. Comunicar a empresa para que emita a Nota Fiscal ou Fatura, com o valor exato dimensionado pela fiscalização, </w:t>
      </w:r>
      <w:r>
        <w:rPr>
          <w:rFonts w:ascii="Arial" w:hAnsi="Arial" w:cs="Arial" w:eastAsia="Arial"/>
          <w:color w:val="00000A"/>
          <w:spacing w:val="0"/>
          <w:position w:val="0"/>
          <w:sz w:val="20"/>
          <w:shd w:fill="auto" w:val="clear"/>
        </w:rPr>
        <w:t xml:space="preserve">com base no Instrumento de Medição de Resultado (IMR), ou instrumento substituto.</w:t>
      </w:r>
      <w:r>
        <w:rPr>
          <w:rFonts w:ascii="Arial" w:hAnsi="Arial" w:cs="Arial" w:eastAsia="Arial"/>
          <w:color w:val="000000"/>
          <w:spacing w:val="0"/>
          <w:position w:val="0"/>
          <w:sz w:val="20"/>
          <w:shd w:fill="auto" w:val="clear"/>
        </w:rPr>
        <w:t xml:space="preserve"> </w:t>
      </w:r>
    </w:p>
    <w:p>
      <w:pPr>
        <w:widowControl w:val="false"/>
        <w:spacing w:before="120" w:after="120" w:line="276"/>
        <w:ind w:right="0" w:left="147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18.5.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pPr>
        <w:widowControl w:val="false"/>
        <w:spacing w:before="120" w:after="120" w:line="276"/>
        <w:ind w:right="0" w:left="141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18.6.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pPr>
        <w:widowControl w:val="false"/>
        <w:spacing w:before="120" w:after="120" w:line="276"/>
        <w:ind w:right="0" w:left="1141" w:firstLine="0"/>
        <w:jc w:val="both"/>
        <w:rPr>
          <w:rFonts w:ascii="Arial" w:hAnsi="Arial" w:cs="Arial" w:eastAsia="Arial"/>
          <w:color w:val="00000A"/>
          <w:spacing w:val="0"/>
          <w:position w:val="0"/>
          <w:sz w:val="20"/>
          <w:shd w:fill="auto" w:val="clear"/>
        </w:rPr>
      </w:pPr>
    </w:p>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auto" w:val="clear"/>
        </w:rPr>
        <w:t xml:space="preserve">        19. DO PAGAMENTO</w:t>
      </w:r>
    </w:p>
    <w:p>
      <w:pPr>
        <w:widowControl w:val="false"/>
        <w:spacing w:before="120" w:after="120" w:line="276"/>
        <w:ind w:right="0" w:left="454"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19.1.     O </w:t>
      </w:r>
      <w:r>
        <w:rPr>
          <w:rFonts w:ascii="Arial" w:hAnsi="Arial" w:cs="Arial" w:eastAsia="Arial"/>
          <w:color w:val="00000A"/>
          <w:spacing w:val="0"/>
          <w:position w:val="0"/>
          <w:sz w:val="20"/>
          <w:shd w:fill="auto" w:val="clear"/>
        </w:rPr>
        <w:t xml:space="preserve">pagamento</w:t>
      </w:r>
      <w:r>
        <w:rPr>
          <w:rFonts w:ascii="Arial" w:hAnsi="Arial" w:cs="Arial" w:eastAsia="Arial"/>
          <w:color w:val="000000"/>
          <w:spacing w:val="0"/>
          <w:position w:val="0"/>
          <w:sz w:val="20"/>
          <w:shd w:fill="auto" w:val="clear"/>
        </w:rPr>
        <w:t xml:space="preserve"> será efetuado pela Contratante no prazo de 30 dias, contados do recebimento da Nota Fiscal/Fatura.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19.1.1.Os </w:t>
      </w:r>
      <w:r>
        <w:rPr>
          <w:rFonts w:ascii="Arial" w:hAnsi="Arial" w:cs="Arial" w:eastAsia="Arial"/>
          <w:color w:val="00000A"/>
          <w:spacing w:val="0"/>
          <w:position w:val="0"/>
          <w:sz w:val="20"/>
          <w:shd w:fill="auto" w:val="clear"/>
        </w:rPr>
        <w:t xml:space="preserve">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w:t>
      </w:r>
      <w:r>
        <w:rPr>
          <w:rFonts w:ascii="Arial" w:hAnsi="Arial" w:cs="Arial" w:eastAsia="Arial"/>
          <w:color w:val="000000"/>
          <w:spacing w:val="0"/>
          <w:position w:val="0"/>
          <w:sz w:val="20"/>
          <w:shd w:fill="auto" w:val="clear"/>
        </w:rPr>
        <w:t xml:space="preserve">de 1993.</w:t>
      </w:r>
    </w:p>
    <w:p>
      <w:pPr>
        <w:widowControl w:val="false"/>
        <w:spacing w:before="120" w:after="120" w:line="276"/>
        <w:ind w:right="0" w:left="510"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19.2.      A emissão da Nota Fiscal/Fatura será precedida do recebimento definitivo do serviço, conforme este Termo de Referência</w:t>
      </w:r>
    </w:p>
    <w:p>
      <w:pPr>
        <w:widowControl w:val="false"/>
        <w:spacing w:before="120" w:after="120" w:line="276"/>
        <w:ind w:right="0" w:left="510"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pPr>
        <w:widowControl w:val="false"/>
        <w:spacing w:before="120" w:after="120" w:line="276"/>
        <w:ind w:right="0" w:left="3226"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19.3.1. Constatando-se, junto ao SICAF, a situação de irregularidade do fornecedor contratado, deverão ser tomadas as providências previstas no do art. 31 da Instrução Normativa nº 3, de 26 de abril de 2018.</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19.4.  O setor competente para proceder o pagamento deve verificar se a Nota Fiscal ou Fatura apresentada expressa os elementos necessários e essenciais do documento, tais como: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19.4.1.o prazo de validade;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19.4.2. a data da emissão; </w:t>
      </w:r>
    </w:p>
    <w:p>
      <w:pPr>
        <w:widowControl w:val="false"/>
        <w:spacing w:before="120" w:after="120" w:line="276"/>
        <w:ind w:right="0" w:left="1922"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19.4.3. os dados do contrato e do órgão contratante;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19.4.4. o período de prestação dos serviços;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19.4.5. o valor a pagar; e </w:t>
      </w:r>
    </w:p>
    <w:p>
      <w:pPr>
        <w:widowControl w:val="false"/>
        <w:spacing w:before="120" w:after="120" w:line="276"/>
        <w:ind w:right="0" w:left="1922"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19.4.6. eventual destaque do valor de retenções tributárias cabíveis.</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19.5.      Havendo erro </w:t>
      </w:r>
      <w:r>
        <w:rPr>
          <w:rFonts w:ascii="Arial" w:hAnsi="Arial" w:cs="Arial" w:eastAsia="Arial"/>
          <w:color w:val="000000"/>
          <w:spacing w:val="0"/>
          <w:position w:val="0"/>
          <w:sz w:val="20"/>
          <w:shd w:fill="auto" w:val="clear"/>
        </w:rPr>
        <w:t xml:space="preserve">na</w:t>
      </w:r>
      <w:r>
        <w:rPr>
          <w:rFonts w:ascii="Arial" w:hAnsi="Arial" w:cs="Arial" w:eastAsia="Arial"/>
          <w:color w:val="00000A"/>
          <w:spacing w:val="0"/>
          <w:position w:val="0"/>
          <w:sz w:val="20"/>
          <w:shd w:fill="auto" w:val="clear"/>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19.6.    Nos termos do item 1, do Anexo VIII-A da Instrução Normativa SEGES/MP nº 05, de 2017, será </w:t>
      </w:r>
      <w:r>
        <w:rPr>
          <w:rFonts w:ascii="Arial" w:hAnsi="Arial" w:cs="Arial" w:eastAsia="Arial"/>
          <w:color w:val="000000"/>
          <w:spacing w:val="0"/>
          <w:position w:val="0"/>
          <w:sz w:val="20"/>
          <w:shd w:fill="auto" w:val="clear"/>
        </w:rPr>
        <w:t xml:space="preserve">efetuada</w:t>
      </w:r>
      <w:r>
        <w:rPr>
          <w:rFonts w:ascii="Arial" w:hAnsi="Arial" w:cs="Arial" w:eastAsia="Arial"/>
          <w:color w:val="00000A"/>
          <w:spacing w:val="0"/>
          <w:position w:val="0"/>
          <w:sz w:val="20"/>
          <w:shd w:fill="auto" w:val="clear"/>
        </w:rPr>
        <w:t xml:space="preserve"> a retenção ou glosa no pagamento, proporcional à irregularidade verificada, sem prejuízo das sanções cabíveis, caso se constate que a Contratada:</w:t>
      </w:r>
    </w:p>
    <w:p>
      <w:pPr>
        <w:widowControl w:val="false"/>
        <w:spacing w:before="120" w:after="120" w:line="276"/>
        <w:ind w:right="0" w:left="1922"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19.6.1. não produziu os resultados acordados;</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19.6.2  deixou de executar as atividades contratadas, ou não as executou com a qualidade mínima exigida;</w:t>
      </w:r>
    </w:p>
    <w:p>
      <w:pPr>
        <w:widowControl w:val="false"/>
        <w:spacing w:before="120" w:after="120" w:line="276"/>
        <w:ind w:right="0" w:left="1922" w:firstLine="0"/>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19.6.3. deixou de utilizar os materiais e recursos humanos exigidos para a execução do serviço, ou utilizou-os com qualidade ou quantidade inferior à demandada.</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19.7.     Será considerada data do pagamento o dia em que constar como emitida a ordem bancária para pagamento.</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19.8        Antes de cada pagamento à contratada, será realizada consulta ao SICAF para verificar a manutenção das condições de habilitação exigidas no edital. </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19.9.   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widowControl w:val="false"/>
        <w:spacing w:before="120" w:after="120" w:line="276"/>
        <w:ind w:right="0" w:left="56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19.10.   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widowControl w:val="false"/>
        <w:spacing w:before="120" w:after="120" w:line="276"/>
        <w:ind w:right="0" w:left="113"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19.11.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pPr>
        <w:widowControl w:val="false"/>
        <w:spacing w:before="120" w:after="120" w:line="276"/>
        <w:ind w:right="0" w:left="113"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19.12.     Persistindo a irregularidade, a contratante deverá adotar as medidas necessárias à rescisão contratual nos autos do processo administrativo correspondente, assegurada à contratada a ampla defesa. </w:t>
      </w:r>
    </w:p>
    <w:p>
      <w:pPr>
        <w:widowControl w:val="false"/>
        <w:spacing w:before="120" w:after="120" w:line="276"/>
        <w:ind w:right="0" w:left="113"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19.13.       Havendo a efetiva execução do objeto, os pagamentos serão realizados normalmente, até que se decida pela rescisão do contrato, caso a contratada não regularize sua situação junto ao SICAF.  </w:t>
      </w:r>
    </w:p>
    <w:p>
      <w:pPr>
        <w:widowControl w:val="false"/>
        <w:spacing w:before="120" w:after="120" w:line="276"/>
        <w:ind w:right="0" w:left="192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19.13.1.   Será rescindido o contrato em execução com a contratada inadimplente no SICAF, salvo por motivo de economicidade, segurança nacional ou outro de interesse público de alta relevância, devidamente justificado, em qualquer caso, pela máxima autoridade da contratante. </w:t>
      </w:r>
    </w:p>
    <w:p>
      <w:pPr>
        <w:widowControl w:val="false"/>
        <w:spacing w:before="120" w:after="120" w:line="276"/>
        <w:ind w:right="0" w:left="1141"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19.14. Quando do pagamento, será efetuada a retenção tributária prevista na legislação aplicável, em especial a prevista no artigo 31 da Lei 8.212, de 1993, nos termos do item 6 do Anexo XI da IN SEGES/MP n. 5/2017, quando couber.</w:t>
      </w:r>
    </w:p>
    <w:p>
      <w:pPr>
        <w:widowControl w:val="false"/>
        <w:spacing w:before="120" w:after="120" w:line="276"/>
        <w:ind w:right="0" w:left="0" w:firstLine="0"/>
        <w:jc w:val="both"/>
        <w:rPr>
          <w:rFonts w:ascii="Arial" w:hAnsi="Arial" w:cs="Arial" w:eastAsia="Arial"/>
          <w:color w:val="000000"/>
          <w:spacing w:val="0"/>
          <w:position w:val="0"/>
          <w:sz w:val="20"/>
          <w:shd w:fill="auto" w:val="clear"/>
        </w:rPr>
      </w:pPr>
    </w:p>
    <w:p>
      <w:pPr>
        <w:widowControl w:val="false"/>
        <w:spacing w:before="120" w:after="120" w:line="276"/>
        <w:ind w:right="0" w:left="1141"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19.15.    É vedado o pagamento, a qualquer título, por serviços prestados, à empresa privada que tenha em seu quadro societário servidor público da ativa do órgão contratante, com fundamento na Lei de Diretrizes Orçamentárias vigente.</w:t>
      </w:r>
    </w:p>
    <w:p>
      <w:pPr>
        <w:widowControl w:val="false"/>
        <w:spacing w:before="120" w:after="120" w:line="276"/>
        <w:ind w:right="0" w:left="1141"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19.16.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widowControl w:val="false"/>
        <w:spacing w:before="0" w:after="0" w:line="276"/>
        <w:ind w:right="0" w:left="426" w:firstLine="708"/>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EM = I x N x VP, sendo:</w:t>
      </w:r>
    </w:p>
    <w:p>
      <w:pPr>
        <w:widowControl w:val="false"/>
        <w:tabs>
          <w:tab w:val="left" w:pos="1701" w:leader="none"/>
        </w:tabs>
        <w:spacing w:before="0" w:after="0" w:line="276"/>
        <w:ind w:right="0" w:left="0" w:firstLine="1134"/>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EM = Encargos moratórios;</w:t>
      </w:r>
    </w:p>
    <w:p>
      <w:pPr>
        <w:widowControl w:val="false"/>
        <w:tabs>
          <w:tab w:val="left" w:pos="1701" w:leader="none"/>
        </w:tabs>
        <w:spacing w:before="0" w:after="0" w:line="276"/>
        <w:ind w:right="0" w:left="0" w:firstLine="1134"/>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N = Número de dias entre a data prevista para o pagamento e a do efetivo pagamento;</w:t>
      </w:r>
    </w:p>
    <w:p>
      <w:pPr>
        <w:widowControl w:val="false"/>
        <w:tabs>
          <w:tab w:val="left" w:pos="1701" w:leader="none"/>
        </w:tabs>
        <w:spacing w:before="0" w:after="0" w:line="276"/>
        <w:ind w:right="0" w:left="0" w:firstLine="1134"/>
        <w:jc w:val="both"/>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VP = Valor da parcela a ser paga.</w:t>
      </w:r>
    </w:p>
    <w:p>
      <w:pPr>
        <w:widowControl w:val="false"/>
        <w:tabs>
          <w:tab w:val="left" w:pos="1701" w:leader="none"/>
        </w:tabs>
        <w:spacing w:before="0" w:after="0" w:line="276"/>
        <w:ind w:right="0" w:left="0" w:firstLine="1134"/>
        <w:jc w:val="both"/>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I = Índice de compensação financeira = 0,00016438, assim apurado:</w:t>
      </w:r>
    </w:p>
    <w:p>
      <w:pPr>
        <w:widowControl w:val="false"/>
        <w:tabs>
          <w:tab w:val="left" w:pos="1701" w:leader="none"/>
        </w:tabs>
        <w:spacing w:before="0" w:after="0" w:line="276"/>
        <w:ind w:right="0" w:left="0" w:firstLine="1134"/>
        <w:jc w:val="both"/>
        <w:rPr>
          <w:rFonts w:ascii="Arial" w:hAnsi="Arial" w:cs="Arial" w:eastAsia="Arial"/>
          <w:color w:val="000000"/>
          <w:spacing w:val="0"/>
          <w:position w:val="0"/>
          <w:sz w:val="20"/>
          <w:shd w:fill="auto" w:val="clear"/>
        </w:rPr>
      </w:pPr>
    </w:p>
    <w:p>
      <w:pPr>
        <w:widowControl w:val="false"/>
        <w:tabs>
          <w:tab w:val="left" w:pos="1701" w:leader="none"/>
        </w:tabs>
        <w:spacing w:before="0" w:after="0" w:line="276"/>
        <w:ind w:right="0" w:left="0" w:firstLine="1134"/>
        <w:jc w:val="both"/>
        <w:rPr>
          <w:rFonts w:ascii="Arial" w:hAnsi="Arial" w:cs="Arial" w:eastAsia="Arial"/>
          <w:b/>
          <w:color w:val="00000A"/>
          <w:spacing w:val="0"/>
          <w:position w:val="0"/>
          <w:sz w:val="20"/>
          <w:shd w:fill="auto" w:val="clear"/>
        </w:rPr>
      </w:pPr>
      <w:r>
        <w:rPr>
          <w:rFonts w:ascii="Arial" w:hAnsi="Arial" w:cs="Arial" w:eastAsia="Arial"/>
          <w:b/>
          <w:color w:val="00000A"/>
          <w:spacing w:val="0"/>
          <w:position w:val="0"/>
          <w:sz w:val="20"/>
          <w:shd w:fill="auto" w:val="clear"/>
        </w:rPr>
        <w:t xml:space="preserve">20. REAJUSTE</w:t>
      </w:r>
    </w:p>
    <w:p>
      <w:pPr>
        <w:widowControl w:val="false"/>
        <w:spacing w:before="120" w:after="120" w:line="276"/>
        <w:ind w:right="0" w:left="792" w:firstLine="0"/>
        <w:jc w:val="both"/>
        <w:rPr>
          <w:rFonts w:ascii="Arial" w:hAnsi="Arial" w:cs="Arial" w:eastAsia="Arial"/>
          <w:color w:val="00000A"/>
          <w:spacing w:val="0"/>
          <w:position w:val="0"/>
          <w:sz w:val="20"/>
          <w:shd w:fill="auto" w:val="clear"/>
        </w:rPr>
      </w:pPr>
    </w:p>
    <w:p>
      <w:pPr>
        <w:widowControl w:val="false"/>
        <w:spacing w:before="120" w:after="120" w:line="276"/>
        <w:ind w:right="0" w:left="1246"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20.1.  Os preços são fixos e irreajustáveis no prazo de um ano contado da data limite para a apresentação das propostas.</w:t>
      </w:r>
    </w:p>
    <w:p>
      <w:pPr>
        <w:widowControl w:val="false"/>
        <w:spacing w:before="120" w:after="120" w:line="276"/>
        <w:ind w:right="0" w:left="792" w:firstLine="0"/>
        <w:jc w:val="both"/>
        <w:rPr>
          <w:rFonts w:ascii="Arial" w:hAnsi="Arial" w:cs="Arial" w:eastAsia="Arial"/>
          <w:color w:val="00000A"/>
          <w:spacing w:val="0"/>
          <w:position w:val="0"/>
          <w:sz w:val="20"/>
          <w:shd w:fill="auto" w:val="clear"/>
        </w:rPr>
      </w:pP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20.1.1 Dentro do prazo de vigência do contrato e mediante solicitação da contratada, os preços contratados poderão sofrer reajuste após o interregno de um ano, aplicando-se o índice </w:t>
      </w:r>
      <w:r>
        <w:rPr>
          <w:rFonts w:ascii="Arial" w:hAnsi="Arial" w:cs="Arial" w:eastAsia="Arial"/>
          <w:color w:val="000000"/>
          <w:spacing w:val="0"/>
          <w:position w:val="0"/>
          <w:sz w:val="20"/>
          <w:shd w:fill="auto" w:val="clear"/>
        </w:rPr>
        <w:t xml:space="preserve">do IPCA </w:t>
      </w:r>
      <w:r>
        <w:rPr>
          <w:rFonts w:ascii="Arial" w:hAnsi="Arial" w:cs="Arial" w:eastAsia="Arial"/>
          <w:color w:val="00000A"/>
          <w:spacing w:val="0"/>
          <w:position w:val="0"/>
          <w:sz w:val="20"/>
          <w:shd w:fill="auto" w:val="clear"/>
        </w:rPr>
        <w:t xml:space="preserve">exclusivamente para as obrigações iniciadas e concluídas após a ocorrência da anualidade.</w:t>
      </w:r>
    </w:p>
    <w:p>
      <w:pPr>
        <w:widowControl w:val="false"/>
        <w:spacing w:before="120" w:after="120" w:line="276"/>
        <w:ind w:right="0" w:left="1512" w:firstLine="0"/>
        <w:jc w:val="both"/>
        <w:rPr>
          <w:rFonts w:ascii="Arial" w:hAnsi="Arial" w:cs="Arial" w:eastAsia="Arial"/>
          <w:color w:val="00000A"/>
          <w:spacing w:val="0"/>
          <w:position w:val="0"/>
          <w:sz w:val="20"/>
          <w:shd w:fill="auto" w:val="clear"/>
        </w:rPr>
      </w:pPr>
    </w:p>
    <w:p>
      <w:pPr>
        <w:widowControl w:val="false"/>
        <w:spacing w:before="120" w:after="120" w:line="276"/>
        <w:ind w:right="0" w:left="151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        20.1.2.Nos reajustes subsequentes ao primeiro, o interregno mínimo de um ano será contado a partir dos efeitos financeiros do último reajuste.</w:t>
      </w:r>
    </w:p>
    <w:p>
      <w:pPr>
        <w:widowControl w:val="false"/>
        <w:spacing w:before="120" w:after="120" w:line="276"/>
        <w:ind w:right="0" w:left="1512" w:firstLine="0"/>
        <w:jc w:val="both"/>
        <w:rPr>
          <w:rFonts w:ascii="Arial" w:hAnsi="Arial" w:cs="Arial" w:eastAsia="Arial"/>
          <w:color w:val="00000A"/>
          <w:spacing w:val="0"/>
          <w:position w:val="0"/>
          <w:sz w:val="20"/>
          <w:shd w:fill="auto" w:val="clear"/>
        </w:rPr>
      </w:pPr>
    </w:p>
    <w:p>
      <w:pPr>
        <w:widowControl w:val="false"/>
        <w:spacing w:before="120" w:after="120" w:line="276"/>
        <w:ind w:right="0" w:left="1191"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20.2.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pPr>
        <w:widowControl w:val="false"/>
        <w:spacing w:before="120" w:after="120" w:line="276"/>
        <w:ind w:right="0" w:left="1512" w:firstLine="0"/>
        <w:jc w:val="both"/>
        <w:rPr>
          <w:rFonts w:ascii="Arial" w:hAnsi="Arial" w:cs="Arial" w:eastAsia="Arial"/>
          <w:color w:val="00000A"/>
          <w:spacing w:val="0"/>
          <w:position w:val="0"/>
          <w:sz w:val="20"/>
          <w:shd w:fill="auto" w:val="clear"/>
        </w:rPr>
      </w:pP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20.3.  Nas aferições finais, o índice utilizado para reajuste será, obrigatoriamente, o definitivo.</w:t>
      </w: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20.4.    Caso o índice estabelecido para reajustamento venha a ser extinto ou de qualquer forma não possa mais ser utilizado, será adotado, em substituição, o que vier a ser determinado pela legislação então em vigor.</w:t>
      </w: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20.5.     Na ausência de previsão legal quanto ao índice substituto, as partes elegerão novo índice oficial, para reajustamento do preço do valor remanescente, por meio de termo aditivo.</w:t>
      </w: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p>
    <w:p>
      <w:pPr>
        <w:widowControl w:val="false"/>
        <w:spacing w:before="120" w:after="120" w:line="276"/>
        <w:ind w:right="0" w:left="124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20.6.      O reajuste será realizado por apostilamento.</w:t>
      </w:r>
    </w:p>
    <w:p>
      <w:pPr>
        <w:keepNext w:val="true"/>
        <w:keepLines w:val="true"/>
        <w:widowControl w:val="false"/>
        <w:spacing w:before="480" w:after="0" w:line="276"/>
        <w:ind w:right="0" w:left="737" w:firstLine="0"/>
        <w:jc w:val="both"/>
        <w:rPr>
          <w:rFonts w:ascii="Arial" w:hAnsi="Arial" w:cs="Arial" w:eastAsia="Arial"/>
          <w:b/>
          <w:color w:val="000000"/>
          <w:spacing w:val="0"/>
          <w:position w:val="0"/>
          <w:sz w:val="20"/>
          <w:shd w:fill="auto" w:val="clear"/>
        </w:rPr>
      </w:pPr>
      <w:r>
        <w:rPr>
          <w:rFonts w:ascii="Arial" w:hAnsi="Arial" w:cs="Arial" w:eastAsia="Arial"/>
          <w:b/>
          <w:color w:val="00000A"/>
          <w:spacing w:val="0"/>
          <w:position w:val="0"/>
          <w:sz w:val="20"/>
          <w:shd w:fill="auto" w:val="clear"/>
        </w:rPr>
        <w:t xml:space="preserve">21. GARANTIA DA EXECUÇÃO</w:t>
      </w:r>
    </w:p>
    <w:p>
      <w:pPr>
        <w:keepNext w:val="true"/>
        <w:keepLines w:val="true"/>
        <w:widowControl w:val="false"/>
        <w:spacing w:before="480" w:after="0" w:line="276"/>
        <w:ind w:right="0" w:left="792" w:firstLine="0"/>
        <w:jc w:val="both"/>
        <w:rPr>
          <w:rFonts w:ascii="Arial" w:hAnsi="Arial" w:cs="Arial" w:eastAsia="Arial"/>
          <w:b/>
          <w:color w:val="000000"/>
          <w:spacing w:val="0"/>
          <w:position w:val="0"/>
          <w:sz w:val="20"/>
          <w:shd w:fill="auto" w:val="clear"/>
        </w:rPr>
      </w:pPr>
      <w:r>
        <w:rPr>
          <w:rFonts w:ascii="Arial" w:hAnsi="Arial" w:cs="Arial" w:eastAsia="Arial"/>
          <w:color w:val="000000"/>
          <w:spacing w:val="0"/>
          <w:position w:val="0"/>
          <w:sz w:val="20"/>
          <w:shd w:fill="auto" w:val="clear"/>
        </w:rPr>
        <w:t xml:space="preserve">21.1 Não haverá exigência de garantia contratual da execução dos serviços.</w:t>
      </w:r>
    </w:p>
    <w:p>
      <w:pPr>
        <w:keepNext w:val="true"/>
        <w:keepLines w:val="true"/>
        <w:widowControl w:val="false"/>
        <w:spacing w:before="480" w:after="0" w:line="276"/>
        <w:ind w:right="0" w:left="680" w:firstLine="0"/>
        <w:jc w:val="both"/>
        <w:rPr>
          <w:rFonts w:ascii="Arial" w:hAnsi="Arial" w:cs="Arial" w:eastAsia="Arial"/>
          <w:b/>
          <w:color w:val="000000"/>
          <w:spacing w:val="0"/>
          <w:position w:val="0"/>
          <w:sz w:val="20"/>
          <w:shd w:fill="auto" w:val="clear"/>
        </w:rPr>
      </w:pPr>
      <w:r>
        <w:rPr>
          <w:rFonts w:ascii="Arial" w:hAnsi="Arial" w:cs="Arial" w:eastAsia="Arial"/>
          <w:b/>
          <w:color w:val="000000"/>
          <w:spacing w:val="0"/>
          <w:position w:val="0"/>
          <w:sz w:val="20"/>
          <w:shd w:fill="auto" w:val="clear"/>
        </w:rPr>
        <w:t xml:space="preserve">22. DAS SANÇÕES ADMINISTRATIVAS</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22.1. Comete infração administrativa nos termos da Lei nº 10.520, de 2002, a CONTRATADA que:</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a- Inexecutar total ou parcialmente qualquer das obrigações assumidas em decorrência da contratação;</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b- Ensejar o retardamento da execução do objeto;</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c- Falhar ou fraudar na execução do contrato;</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d- comportar-se de modo inidôneo; ou</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e-   Cometer fraude fiscal.</w:t>
      </w:r>
    </w:p>
    <w:p>
      <w:pPr>
        <w:widowControl w:val="false"/>
        <w:spacing w:before="120" w:after="120" w:line="276"/>
        <w:ind w:right="0" w:left="737"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 Pela inexecução </w:t>
      </w:r>
      <w:r>
        <w:rPr>
          <w:rFonts w:ascii="Arial" w:hAnsi="Arial" w:cs="Arial" w:eastAsia="Arial"/>
          <w:color w:val="00000A"/>
          <w:spacing w:val="0"/>
          <w:position w:val="0"/>
          <w:sz w:val="20"/>
          <w:u w:val="single"/>
          <w:shd w:fill="auto" w:val="clear"/>
        </w:rPr>
        <w:t xml:space="preserve">total ou parcial</w:t>
      </w:r>
      <w:r>
        <w:rPr>
          <w:rFonts w:ascii="Arial" w:hAnsi="Arial" w:cs="Arial" w:eastAsia="Arial"/>
          <w:color w:val="00000A"/>
          <w:spacing w:val="0"/>
          <w:position w:val="0"/>
          <w:sz w:val="20"/>
          <w:shd w:fill="auto" w:val="clear"/>
        </w:rPr>
        <w:t xml:space="preserve"> do objeto deste contrato, a Administração pode aplicar à CONTRATADA as seguintes sanções:</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22.2.1</w:t>
      </w:r>
      <w:r>
        <w:rPr>
          <w:rFonts w:ascii="Arial" w:hAnsi="Arial" w:cs="Arial" w:eastAsia="Arial"/>
          <w:b/>
          <w:color w:val="00000A"/>
          <w:spacing w:val="0"/>
          <w:position w:val="0"/>
          <w:sz w:val="20"/>
          <w:shd w:fill="auto" w:val="clear"/>
        </w:rPr>
        <w:t xml:space="preserve"> Advertência por escrito</w:t>
      </w:r>
      <w:r>
        <w:rPr>
          <w:rFonts w:ascii="Arial" w:hAnsi="Arial" w:cs="Arial" w:eastAsia="Arial"/>
          <w:color w:val="00000A"/>
          <w:spacing w:val="0"/>
          <w:position w:val="0"/>
          <w:sz w:val="20"/>
          <w:shd w:fill="auto" w:val="clear"/>
        </w:rPr>
        <w:t xml:space="preserve">, quando do não cumprimento de quaisquer das obrigações contratuais consideradas faltas leves, assim entendidas aquelas que não acarretam prejuízos significativos para o serviço contratado;</w:t>
      </w:r>
    </w:p>
    <w:p>
      <w:pPr>
        <w:widowControl w:val="false"/>
        <w:spacing w:before="120" w:after="120" w:line="276"/>
        <w:ind w:right="0" w:left="1944"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22.2.2 </w:t>
      </w:r>
      <w:r>
        <w:rPr>
          <w:rFonts w:ascii="Arial" w:hAnsi="Arial" w:cs="Arial" w:eastAsia="Arial"/>
          <w:b/>
          <w:color w:val="00000A"/>
          <w:spacing w:val="0"/>
          <w:position w:val="0"/>
          <w:sz w:val="20"/>
          <w:shd w:fill="auto" w:val="clear"/>
        </w:rPr>
        <w:t xml:space="preserve">Multa de</w:t>
      </w:r>
      <w:r>
        <w:rPr>
          <w:rFonts w:ascii="Arial" w:hAnsi="Arial" w:cs="Arial" w:eastAsia="Arial"/>
          <w:color w:val="00000A"/>
          <w:spacing w:val="0"/>
          <w:position w:val="0"/>
          <w:sz w:val="20"/>
          <w:shd w:fill="auto" w:val="clear"/>
        </w:rPr>
        <w:t xml:space="preserve">: </w:t>
      </w:r>
    </w:p>
    <w:p>
      <w:pPr>
        <w:widowControl w:val="false"/>
        <w:spacing w:before="120" w:after="120" w:line="276"/>
        <w:ind w:right="0" w:left="2808"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a- 0,1% (um décimo por cento) até 0,2% (dois décimos por cento) por dia sobre o valor adjudicado em caso de atraso na execução dos serviços, limitada a incidência a </w:t>
      </w:r>
      <w:r>
        <w:rPr>
          <w:rFonts w:ascii="Arial" w:hAnsi="Arial" w:cs="Arial" w:eastAsia="Arial"/>
          <w:color w:val="auto"/>
          <w:spacing w:val="0"/>
          <w:position w:val="0"/>
          <w:sz w:val="20"/>
          <w:shd w:fill="auto" w:val="clear"/>
        </w:rPr>
        <w:t xml:space="preserve">15 (quinze)</w:t>
      </w:r>
      <w:r>
        <w:rPr>
          <w:rFonts w:ascii="Arial" w:hAnsi="Arial" w:cs="Arial" w:eastAsia="Arial"/>
          <w:color w:val="00000A"/>
          <w:spacing w:val="0"/>
          <w:position w:val="0"/>
          <w:sz w:val="20"/>
          <w:shd w:fill="auto" w:val="clear"/>
        </w:rPr>
        <w:t xml:space="preserv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pPr>
        <w:widowControl w:val="false"/>
        <w:spacing w:before="120" w:after="120" w:line="276"/>
        <w:ind w:right="0" w:left="2808"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b- 0,1% (um décimo por cento) até 10% (dez por cento) sobre o valor adjudicado, em caso de atraso na execução do objeto, por período superior ao previsto no </w:t>
      </w:r>
      <w:r>
        <w:rPr>
          <w:rFonts w:ascii="Arial" w:hAnsi="Arial" w:cs="Arial" w:eastAsia="Arial"/>
          <w:color w:val="000000"/>
          <w:spacing w:val="0"/>
          <w:position w:val="0"/>
          <w:sz w:val="20"/>
          <w:shd w:fill="auto" w:val="clear"/>
        </w:rPr>
        <w:t xml:space="preserve">subitem acima,</w:t>
      </w:r>
      <w:r>
        <w:rPr>
          <w:rFonts w:ascii="Arial" w:hAnsi="Arial" w:cs="Arial" w:eastAsia="Arial"/>
          <w:color w:val="00000A"/>
          <w:spacing w:val="0"/>
          <w:position w:val="0"/>
          <w:sz w:val="20"/>
          <w:shd w:fill="auto" w:val="clear"/>
        </w:rPr>
        <w:t xml:space="preserve"> ou de inexecução parcial da obrigação assumida;</w:t>
      </w:r>
    </w:p>
    <w:p>
      <w:pPr>
        <w:widowControl w:val="false"/>
        <w:spacing w:before="120" w:after="120" w:line="276"/>
        <w:ind w:right="0" w:left="2808"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c- 0,1% (um décimo por cento) até 15% (quinze por cento) sobre o valor adjudicado, em caso de inexecução total da obrigação assumida;</w:t>
      </w:r>
    </w:p>
    <w:p>
      <w:pPr>
        <w:widowControl w:val="false"/>
        <w:spacing w:before="120" w:after="120" w:line="276"/>
        <w:ind w:right="0" w:left="2808"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d- 0,2% a 3,2% por dia sobre o valor mensal do contrato, conforme detalhamento constante das </w:t>
      </w:r>
      <w:r>
        <w:rPr>
          <w:rFonts w:ascii="Arial" w:hAnsi="Arial" w:cs="Arial" w:eastAsia="Arial"/>
          <w:b/>
          <w:color w:val="00000A"/>
          <w:spacing w:val="0"/>
          <w:position w:val="0"/>
          <w:sz w:val="20"/>
          <w:shd w:fill="auto" w:val="clear"/>
        </w:rPr>
        <w:t xml:space="preserve">tabelas 1 e 2</w:t>
      </w:r>
      <w:r>
        <w:rPr>
          <w:rFonts w:ascii="Arial" w:hAnsi="Arial" w:cs="Arial" w:eastAsia="Arial"/>
          <w:color w:val="00000A"/>
          <w:spacing w:val="0"/>
          <w:position w:val="0"/>
          <w:sz w:val="20"/>
          <w:shd w:fill="auto" w:val="clear"/>
        </w:rPr>
        <w:t xml:space="preserve">, abaixo; e</w:t>
      </w:r>
    </w:p>
    <w:p>
      <w:pPr>
        <w:widowControl w:val="false"/>
        <w:spacing w:before="120" w:after="120" w:line="276"/>
        <w:ind w:right="0" w:left="2808" w:firstLine="0"/>
        <w:jc w:val="both"/>
        <w:rPr>
          <w:rFonts w:ascii="Arial" w:hAnsi="Arial" w:cs="Arial" w:eastAsia="Arial"/>
          <w:color w:val="00000A"/>
          <w:spacing w:val="0"/>
          <w:position w:val="0"/>
          <w:sz w:val="24"/>
          <w:shd w:fill="auto" w:val="clear"/>
        </w:rPr>
      </w:pPr>
      <w:r>
        <w:rPr>
          <w:rFonts w:ascii="Arial" w:hAnsi="Arial" w:cs="Arial" w:eastAsia="Arial"/>
          <w:color w:val="00000A"/>
          <w:spacing w:val="0"/>
          <w:position w:val="0"/>
          <w:sz w:val="20"/>
          <w:shd w:fill="auto" w:val="clear"/>
        </w:rPr>
        <w:t xml:space="preserve">e- 0,07%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pPr>
        <w:widowControl w:val="false"/>
        <w:spacing w:before="120" w:after="120" w:line="276"/>
        <w:ind w:right="0" w:left="2808"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22.2.3. As penalidades de multa decorrentes de fatos diversos serão consideradas independentes entre si.</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22.2.4. Suspensão de licitar e impedimento de contratar com o órgão, entidade ou unidade administrativa pela qual a Administração Pública opera e atua concretamente, pelo prazo de até dois anos;</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22.2.5. Sanção de impedimento de licitar e contratar com órgãos e entidades da União, com o consequente descredenciamento no SICAF pelo prazo de até cinco anos</w:t>
      </w:r>
    </w:p>
    <w:p>
      <w:pPr>
        <w:widowControl w:val="false"/>
        <w:spacing w:before="120" w:after="120" w:line="276"/>
        <w:ind w:right="0" w:left="2351" w:firstLine="0"/>
        <w:jc w:val="both"/>
        <w:rPr>
          <w:rFonts w:ascii="Ecofont_Spranq_eco_Sans" w:hAnsi="Ecofont_Spranq_eco_Sans" w:cs="Ecofont_Spranq_eco_Sans" w:eastAsia="Ecofont_Spranq_eco_Sans"/>
          <w:color w:val="00000A"/>
          <w:spacing w:val="0"/>
          <w:position w:val="0"/>
          <w:sz w:val="24"/>
          <w:shd w:fill="auto" w:val="clear"/>
        </w:rPr>
      </w:pPr>
      <w:r>
        <w:rPr>
          <w:rFonts w:ascii="Arial" w:hAnsi="Arial" w:cs="Arial" w:eastAsia="Arial"/>
          <w:color w:val="00000A"/>
          <w:spacing w:val="0"/>
          <w:position w:val="0"/>
          <w:sz w:val="20"/>
          <w:shd w:fill="auto" w:val="clear"/>
        </w:rPr>
        <w:t xml:space="preserve">22.2.6. A Sanção de impedimento de licitar e contratar prevista neste subitem também é aplicável em quaisquer das hipóteses previstas como infração administrativa no subitem 19.1 deste Termo de Referência.</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22.2.7.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22.2.8. As sanções previstas nos subitens 19.2.1, 19.2.3, 19.2.4 e 19.2.5 poderão ser aplicadas à CONTRATADA junto as de multa, descontando-a dos pagamentos a serem efetuados.</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22.2.9. Para efeito de aplicação de multas, às infrações são atribuídos graus, de acordo com as tabelas 1 e 2:</w:t>
      </w:r>
    </w:p>
    <w:p>
      <w:pPr>
        <w:widowControl w:val="false"/>
        <w:spacing w:before="120" w:after="120" w:line="276"/>
        <w:ind w:right="0" w:left="0" w:firstLine="0"/>
        <w:jc w:val="center"/>
        <w:rPr>
          <w:rFonts w:ascii="Arial" w:hAnsi="Arial" w:cs="Arial" w:eastAsia="Arial"/>
          <w:b/>
          <w:color w:val="00000A"/>
          <w:spacing w:val="0"/>
          <w:position w:val="0"/>
          <w:sz w:val="20"/>
          <w:shd w:fill="auto" w:val="clear"/>
        </w:rPr>
      </w:pPr>
    </w:p>
    <w:p>
      <w:pPr>
        <w:widowControl w:val="false"/>
        <w:spacing w:before="120" w:after="120" w:line="276"/>
        <w:ind w:right="0" w:left="0" w:firstLine="0"/>
        <w:jc w:val="center"/>
        <w:rPr>
          <w:rFonts w:ascii="Arial" w:hAnsi="Arial" w:cs="Arial" w:eastAsia="Arial"/>
          <w:b/>
          <w:color w:val="00000A"/>
          <w:spacing w:val="0"/>
          <w:position w:val="0"/>
          <w:sz w:val="20"/>
          <w:shd w:fill="auto" w:val="clear"/>
        </w:rPr>
      </w:pPr>
    </w:p>
    <w:p>
      <w:pPr>
        <w:widowControl w:val="false"/>
        <w:spacing w:before="120" w:after="120" w:line="276"/>
        <w:ind w:right="0" w:left="0" w:firstLine="0"/>
        <w:jc w:val="center"/>
        <w:rPr>
          <w:rFonts w:ascii="Arial" w:hAnsi="Arial" w:cs="Arial" w:eastAsia="Arial"/>
          <w:b/>
          <w:color w:val="00000A"/>
          <w:spacing w:val="0"/>
          <w:position w:val="0"/>
          <w:sz w:val="20"/>
          <w:shd w:fill="auto" w:val="clear"/>
        </w:rPr>
      </w:pPr>
      <w:r>
        <w:rPr>
          <w:rFonts w:ascii="Arial" w:hAnsi="Arial" w:cs="Arial" w:eastAsia="Arial"/>
          <w:b/>
          <w:color w:val="00000A"/>
          <w:spacing w:val="0"/>
          <w:position w:val="0"/>
          <w:sz w:val="20"/>
          <w:shd w:fill="auto" w:val="clear"/>
        </w:rPr>
        <w:t xml:space="preserve">Tabela 1</w:t>
      </w:r>
    </w:p>
    <w:tbl>
      <w:tblPr/>
      <w:tblGrid>
        <w:gridCol w:w="3576"/>
        <w:gridCol w:w="5603"/>
      </w:tblGrid>
      <w:tr>
        <w:trPr>
          <w:trHeight w:val="180" w:hRule="auto"/>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GRAU</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CORRESPONDÊNCIA</w:t>
            </w:r>
          </w:p>
        </w:tc>
      </w:tr>
      <w:tr>
        <w:trPr>
          <w:trHeight w:val="1" w:hRule="atLeast"/>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1</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0,2% ao dia sobre o valor mensal do contrato</w:t>
            </w:r>
          </w:p>
        </w:tc>
      </w:tr>
      <w:tr>
        <w:trPr>
          <w:trHeight w:val="1" w:hRule="atLeast"/>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2</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0,4% ao dia sobre o valor mensal do contrato</w:t>
            </w:r>
          </w:p>
        </w:tc>
      </w:tr>
      <w:tr>
        <w:trPr>
          <w:trHeight w:val="1" w:hRule="atLeast"/>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3</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0,8% ao dia sobre o valor mensal do contrato</w:t>
            </w:r>
          </w:p>
        </w:tc>
      </w:tr>
      <w:tr>
        <w:trPr>
          <w:trHeight w:val="1" w:hRule="atLeast"/>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4</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1,6% ao dia sobre o valor mensal do contrato</w:t>
            </w:r>
          </w:p>
        </w:tc>
      </w:tr>
      <w:tr>
        <w:trPr>
          <w:trHeight w:val="1" w:hRule="atLeast"/>
          <w:jc w:val="left"/>
        </w:trPr>
        <w:tc>
          <w:tcPr>
            <w:tcW w:w="3576"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5</w:t>
            </w:r>
          </w:p>
        </w:tc>
        <w:tc>
          <w:tcPr>
            <w:tcW w:w="5603"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3,2% ao dia sobre o valor mensal do contrato</w:t>
            </w:r>
          </w:p>
        </w:tc>
      </w:tr>
    </w:tbl>
    <w:p>
      <w:pPr>
        <w:widowControl w:val="false"/>
        <w:spacing w:before="120" w:after="120" w:line="276"/>
        <w:ind w:right="0" w:left="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auto" w:val="clear"/>
        </w:rPr>
        <w:t xml:space="preserve">Tabela 2</w:t>
      </w:r>
    </w:p>
    <w:tbl>
      <w:tblPr/>
      <w:tblGrid>
        <w:gridCol w:w="1300"/>
        <w:gridCol w:w="5917"/>
        <w:gridCol w:w="1958"/>
      </w:tblGrid>
      <w:tr>
        <w:trPr>
          <w:trHeight w:val="60" w:hRule="auto"/>
          <w:jc w:val="left"/>
        </w:trPr>
        <w:tc>
          <w:tcPr>
            <w:tcW w:w="9175" w:type="dxa"/>
            <w:gridSpan w:val="3"/>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INFRAÇÃO</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ITEM</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DESCRIÇÃO</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GRAU</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1</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Permitir situação que crie a possibilidade de causar dano físico, lesão corporal ou consequências letais, por ocorrência;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05</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2</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Suspender ou interromper, salvo motivo de força maior ou caso fortuito, os serviços contratuais por dia e por unidade de atendimento;</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04</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3</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Manter funcionário sem qualificação para executar os serviços contratados, por empregado e por dia;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03</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4</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Recusar-se a executar serviço determinado pela fiscalização, por serviço e por dia;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02</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5</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Retirar funcionários ou encarregados do serviço durante o expediente, sem a anuência prévia do CONTRATANTE, por empregado e por dia;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03</w:t>
            </w:r>
          </w:p>
        </w:tc>
      </w:tr>
      <w:tr>
        <w:trPr>
          <w:trHeight w:val="225" w:hRule="auto"/>
          <w:jc w:val="left"/>
        </w:trPr>
        <w:tc>
          <w:tcPr>
            <w:tcW w:w="9175" w:type="dxa"/>
            <w:gridSpan w:val="3"/>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b/>
                <w:color w:val="00000A"/>
                <w:spacing w:val="0"/>
                <w:position w:val="0"/>
                <w:sz w:val="20"/>
                <w:shd w:fill="auto" w:val="clear"/>
              </w:rPr>
              <w:t xml:space="preserve">Para os itens a seguir, deixar de:</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6</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Registrar e controlar, diariamente, a assiduidade e a pontualidade de seu pessoal, por funcionário e por dia;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01</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7</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Cumprir determinação formal ou instrução complementar do órgão fiscalizador, por ocorrência;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02</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8</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Substituir empregado que se conduza de modo inconveniente ou não atenda às necessidades do serviço, por funcionário e por dia;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01</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9</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Cumprir quaisquer dos itens do Edital e seus Anexos não previstos nesta tabela de multas, após reincidência formalmente notificada pelo órgão fiscalizador, por item e por ocorrência;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03</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10</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Indicar e manter durante a execução do contrato os prepostos previstos no edital/contrato;</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01</w:t>
            </w:r>
          </w:p>
        </w:tc>
      </w:tr>
      <w:tr>
        <w:trPr>
          <w:trHeight w:val="1" w:hRule="atLeast"/>
          <w:jc w:val="left"/>
        </w:trPr>
        <w:tc>
          <w:tcPr>
            <w:tcW w:w="1300"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11</w:t>
            </w:r>
          </w:p>
        </w:tc>
        <w:tc>
          <w:tcPr>
            <w:tcW w:w="5917" w:type="dxa"/>
            <w:tcBorders>
              <w:top w:val="single" w:color="000001" w:sz="6"/>
              <w:left w:val="single" w:color="000001" w:sz="6"/>
              <w:bottom w:val="single" w:color="000001" w:sz="6"/>
              <w:right w:val="single" w:color="000001" w:sz="6"/>
            </w:tcBorders>
            <w:shd w:color="000000" w:fill="auto" w:val="clear"/>
            <w:tcMar>
              <w:left w:w="37" w:type="dxa"/>
              <w:right w:w="37" w:type="dxa"/>
            </w:tcMar>
            <w:vAlign w:val="top"/>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Providenciar treinamento para seus funcionários conforme previsto na relação de obrigações da CONTRATADA</w:t>
            </w:r>
          </w:p>
        </w:tc>
        <w:tc>
          <w:tcPr>
            <w:tcW w:w="1958" w:type="dxa"/>
            <w:tcBorders>
              <w:top w:val="single" w:color="000001" w:sz="6"/>
              <w:left w:val="single" w:color="000001" w:sz="6"/>
              <w:bottom w:val="single" w:color="000001" w:sz="6"/>
              <w:right w:val="single" w:color="000001" w:sz="6"/>
            </w:tcBorders>
            <w:shd w:color="000000" w:fill="auto" w:val="clear"/>
            <w:tcMar>
              <w:left w:w="37" w:type="dxa"/>
              <w:right w:w="37" w:type="dxa"/>
            </w:tcMar>
            <w:vAlign w:val="center"/>
          </w:tcPr>
          <w:p>
            <w:pPr>
              <w:widowControl w:val="false"/>
              <w:spacing w:before="120" w:after="120" w:line="276"/>
              <w:ind w:right="0" w:left="0" w:firstLine="0"/>
              <w:jc w:val="both"/>
              <w:rPr>
                <w:spacing w:val="0"/>
                <w:position w:val="0"/>
                <w:shd w:fill="auto" w:val="clear"/>
              </w:rPr>
            </w:pPr>
            <w:r>
              <w:rPr>
                <w:rFonts w:ascii="Arial" w:hAnsi="Arial" w:cs="Arial" w:eastAsia="Arial"/>
                <w:color w:val="00000A"/>
                <w:spacing w:val="0"/>
                <w:position w:val="0"/>
                <w:sz w:val="20"/>
                <w:shd w:fill="auto" w:val="clear"/>
              </w:rPr>
              <w:t xml:space="preserve">01</w:t>
            </w:r>
          </w:p>
        </w:tc>
      </w:tr>
    </w:tbl>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22.2.10. tenham sofrido condenação definitiva por praticar, por meio dolosos, fraude fiscal no recolhimento de quaisquer tributos;</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22.2.11. tenham praticado atos ilícitos visando a frustrar os objetivos da licitação;</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22.2.12. demonstrem não possuir idoneidade para contratar com a Administração em virtude de atos ilícitos praticados. </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22.2.13. A aplicação de qualquer das penalidades previstas realizar-se-á em processo administrativo que assegurará o contraditório e a ampla defesa à CONTRATADA, observando-se o procedimento previsto na Lei nº 8.666, de 1993, e subsidiariamente a Lei nº 9.784, de 1999.</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22.2.14. As multas devidas e/ou prejuízos causados à Contratante serão deduzidos dos valores a serem pagos, ou recolhidos em favor da União, ou deduzidos da garantia, ou ainda, quando for o caso, serão inscritos na Dívida Ativa da União e cobrados judicialmente.</w:t>
      </w:r>
    </w:p>
    <w:p>
      <w:pPr>
        <w:widowControl w:val="false"/>
        <w:spacing w:before="120" w:after="120" w:line="276"/>
        <w:ind w:right="0" w:left="1944"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22.2.14.1 Caso a Contratante determine, a multa deverá ser recolhida no prazo máximo de   10 (dez) dias, a contar da data do recebimento da comunicação enviada pela autoridade competente.</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22.2.15. Caso o valor da multa não seja suficiente para cobrir os prejuízos causados pela conduta do licitante, a União ou Entidade poderá cobrar o valor remanescente judicialmente, conforme artigo 419 do Código Civil.</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22.2.16. A autoridade competente, na aplicação das sanções, levará em consideração a gravidade da conduta do infrator, o caráter educativo da pena, bem como o dano causado à Administração, observado o princípio da proporcionalidade.</w:t>
      </w:r>
    </w:p>
    <w:p>
      <w:pPr>
        <w:widowControl w:val="false"/>
        <w:spacing w:before="120" w:after="120" w:line="276"/>
        <w:ind w:right="0" w:left="79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22.2.17.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widowControl w:val="false"/>
        <w:spacing w:before="120" w:after="120" w:line="276"/>
        <w:ind w:right="0" w:left="79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22.2.18. A apuração e o julgamento das demais infrações administrativas não consideradas como ato lesivo à Administração Pública nacional ou estrangeira nos termos da Lei nº 12.846, de 1º de agosto de 2013, seguirão seu rito normal na unidade administrativa.</w:t>
      </w:r>
    </w:p>
    <w:p>
      <w:pPr>
        <w:widowControl w:val="false"/>
        <w:spacing w:before="120" w:after="120" w:line="276"/>
        <w:ind w:right="0" w:left="79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22.2.19.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22.2.20.   As penalidades serão obrigatoriamente registradas no SICAF.</w:t>
      </w:r>
    </w:p>
    <w:p>
      <w:pPr>
        <w:widowControl w:val="false"/>
        <w:spacing w:before="120" w:after="120" w:line="276"/>
        <w:ind w:right="0" w:left="36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auto" w:val="clear"/>
        </w:rPr>
        <w:t xml:space="preserve">23. CRITÉRIOS DE SELEÇÃO DO FORNECEDOR.</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23.1.As exigências de habilitação jurídica e de regularidade fiscal e trabalhista são as usuais para a generalidade dos objetos, conforme disciplinado no edital.</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23.2. Os critérios de qualificação econômica a serem atendidos pelo fornecedor estão previstos no edital.</w:t>
      </w:r>
    </w:p>
    <w:p>
      <w:pPr>
        <w:widowControl w:val="false"/>
        <w:spacing w:before="120" w:after="120" w:line="276"/>
        <w:ind w:right="0" w:left="1152" w:firstLine="0"/>
        <w:jc w:val="both"/>
        <w:rPr>
          <w:rFonts w:ascii="Arial" w:hAnsi="Arial" w:cs="Arial" w:eastAsia="Arial"/>
          <w:color w:val="000000"/>
          <w:spacing w:val="0"/>
          <w:position w:val="0"/>
          <w:sz w:val="20"/>
          <w:shd w:fill="FFFFFF" w:val="clear"/>
        </w:rPr>
      </w:pPr>
      <w:r>
        <w:rPr>
          <w:rFonts w:ascii="Arial" w:hAnsi="Arial" w:cs="Arial" w:eastAsia="Arial"/>
          <w:color w:val="000000"/>
          <w:spacing w:val="0"/>
          <w:position w:val="0"/>
          <w:sz w:val="20"/>
          <w:shd w:fill="FFFFFF" w:val="clear"/>
        </w:rPr>
        <w:t xml:space="preserve">23.3. Os critérios de qualificação técnica a serem atendidos pelo fornecedor serão:</w:t>
      </w:r>
    </w:p>
    <w:p>
      <w:pPr>
        <w:widowControl w:val="false"/>
        <w:spacing w:before="120" w:after="120" w:line="276"/>
        <w:ind w:right="0" w:left="792" w:hanging="432"/>
        <w:jc w:val="both"/>
        <w:rPr>
          <w:rFonts w:ascii="Arial" w:hAnsi="Arial" w:cs="Arial" w:eastAsia="Arial"/>
          <w:color w:val="FF0000"/>
          <w:spacing w:val="0"/>
          <w:position w:val="0"/>
          <w:sz w:val="20"/>
          <w:shd w:fill="FFFF00" w:val="clear"/>
        </w:rPr>
      </w:pPr>
      <w:r>
        <w:rPr>
          <w:rFonts w:ascii="Arial" w:hAnsi="Arial" w:cs="Arial" w:eastAsia="Arial"/>
          <w:color w:val="000000"/>
          <w:spacing w:val="0"/>
          <w:position w:val="0"/>
          <w:sz w:val="20"/>
          <w:shd w:fill="FFFFFF" w:val="clear"/>
        </w:rPr>
        <w:t xml:space="preserve">Os critérios de aceitabilidade de preços serão:</w:t>
      </w:r>
    </w:p>
    <w:p>
      <w:pPr>
        <w:widowControl w:val="false"/>
        <w:spacing w:before="120" w:after="120" w:line="276"/>
        <w:ind w:right="0" w:left="1224" w:hanging="504"/>
        <w:jc w:val="both"/>
        <w:rPr>
          <w:rFonts w:ascii="Arial" w:hAnsi="Arial" w:cs="Arial" w:eastAsia="Arial"/>
          <w:color w:val="auto"/>
          <w:spacing w:val="0"/>
          <w:position w:val="0"/>
          <w:sz w:val="20"/>
          <w:shd w:fill="auto" w:val="clear"/>
        </w:rPr>
      </w:pPr>
      <w:r>
        <w:rPr>
          <w:rFonts w:ascii="Arial" w:hAnsi="Arial" w:cs="Arial" w:eastAsia="Arial"/>
          <w:color w:val="auto"/>
          <w:spacing w:val="0"/>
          <w:position w:val="0"/>
          <w:sz w:val="20"/>
          <w:shd w:fill="FFFFFF" w:val="clear"/>
        </w:rPr>
        <w:t xml:space="preserve">Valor Global: R$ (indicar por extenso)</w:t>
      </w:r>
    </w:p>
    <w:p>
      <w:pPr>
        <w:widowControl w:val="false"/>
        <w:spacing w:before="120" w:after="120" w:line="276"/>
        <w:ind w:right="0" w:left="1224" w:hanging="504"/>
        <w:jc w:val="both"/>
        <w:rPr>
          <w:rFonts w:ascii="Arial" w:hAnsi="Arial" w:cs="Arial" w:eastAsia="Arial"/>
          <w:color w:val="FF0000"/>
          <w:spacing w:val="0"/>
          <w:position w:val="0"/>
          <w:sz w:val="20"/>
          <w:shd w:fill="FFFF00" w:val="clear"/>
        </w:rPr>
      </w:pPr>
      <w:r>
        <w:rPr>
          <w:rFonts w:ascii="Arial" w:hAnsi="Arial" w:cs="Arial" w:eastAsia="Arial"/>
          <w:color w:val="000000"/>
          <w:spacing w:val="0"/>
          <w:position w:val="0"/>
          <w:sz w:val="20"/>
          <w:shd w:fill="FFFFFF" w:val="clear"/>
        </w:rPr>
        <w:t xml:space="preserve">Valores unitários: conforme planilha de composição de preços anexa ao edital.</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23.4.   O critério de julgamento da proposta é o menor preço global.</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r>
        <w:rPr>
          <w:rFonts w:ascii="Arial" w:hAnsi="Arial" w:cs="Arial" w:eastAsia="Arial"/>
          <w:color w:val="00000A"/>
          <w:spacing w:val="0"/>
          <w:position w:val="0"/>
          <w:sz w:val="20"/>
          <w:shd w:fill="auto" w:val="clear"/>
        </w:rPr>
        <w:t xml:space="preserve">23.5.   As regras de desempate entre propostas são as discriminadas no edital.</w:t>
      </w:r>
    </w:p>
    <w:p>
      <w:pPr>
        <w:widowControl w:val="false"/>
        <w:spacing w:before="120" w:after="120" w:line="276"/>
        <w:ind w:right="0" w:left="1152" w:firstLine="0"/>
        <w:jc w:val="both"/>
        <w:rPr>
          <w:rFonts w:ascii="Arial" w:hAnsi="Arial" w:cs="Arial" w:eastAsia="Arial"/>
          <w:color w:val="00000A"/>
          <w:spacing w:val="0"/>
          <w:position w:val="0"/>
          <w:sz w:val="20"/>
          <w:shd w:fill="auto" w:val="clear"/>
        </w:rPr>
      </w:pPr>
    </w:p>
    <w:p>
      <w:pPr>
        <w:widowControl w:val="false"/>
        <w:spacing w:before="120" w:after="120" w:line="276"/>
        <w:ind w:right="0" w:left="360" w:firstLine="0"/>
        <w:jc w:val="both"/>
        <w:rPr>
          <w:rFonts w:ascii="Arial" w:hAnsi="Arial" w:cs="Arial" w:eastAsia="Arial"/>
          <w:color w:val="00000A"/>
          <w:spacing w:val="0"/>
          <w:position w:val="0"/>
          <w:sz w:val="20"/>
          <w:shd w:fill="auto" w:val="clear"/>
        </w:rPr>
      </w:pPr>
      <w:r>
        <w:rPr>
          <w:rFonts w:ascii="Arial" w:hAnsi="Arial" w:cs="Arial" w:eastAsia="Arial"/>
          <w:b/>
          <w:color w:val="00000A"/>
          <w:spacing w:val="0"/>
          <w:position w:val="0"/>
          <w:sz w:val="20"/>
          <w:shd w:fill="auto" w:val="clear"/>
        </w:rPr>
        <w:t xml:space="preserve">24. ESTIMATIVA DE PREÇOS E PREÇOS REFERENCIAIS.</w:t>
      </w:r>
    </w:p>
    <w:p>
      <w:pPr>
        <w:widowControl w:val="false"/>
        <w:spacing w:before="120" w:after="120" w:line="276"/>
        <w:ind w:right="0" w:left="792" w:hanging="432"/>
        <w:jc w:val="both"/>
        <w:rPr>
          <w:rFonts w:ascii="Arial" w:hAnsi="Arial" w:cs="Arial" w:eastAsia="Arial"/>
          <w:i/>
          <w:color w:val="FF0000"/>
          <w:spacing w:val="0"/>
          <w:position w:val="0"/>
          <w:sz w:val="20"/>
          <w:shd w:fill="FFFF00" w:val="clear"/>
        </w:rPr>
      </w:pPr>
      <w:r>
        <w:rPr>
          <w:rFonts w:ascii="Arial" w:hAnsi="Arial" w:cs="Arial" w:eastAsia="Arial"/>
          <w:color w:val="000000"/>
          <w:spacing w:val="0"/>
          <w:position w:val="0"/>
          <w:sz w:val="20"/>
          <w:shd w:fill="FFFFFF" w:val="clear"/>
        </w:rPr>
        <w:t xml:space="preserve">O custo estimado da contratação será tornado público apenas e imediatamente após o encerramento do envio de lances..</w:t>
      </w:r>
    </w:p>
    <w:p>
      <w:pPr>
        <w:widowControl w:val="false"/>
        <w:spacing w:before="120" w:after="120" w:line="276"/>
        <w:ind w:right="0" w:left="0" w:firstLine="0"/>
        <w:jc w:val="both"/>
        <w:rPr>
          <w:rFonts w:ascii="Arial" w:hAnsi="Arial" w:cs="Arial" w:eastAsia="Arial"/>
          <w:b/>
          <w:color w:val="00000A"/>
          <w:spacing w:val="0"/>
          <w:position w:val="0"/>
          <w:sz w:val="20"/>
          <w:shd w:fill="auto" w:val="clear"/>
        </w:rPr>
      </w:pPr>
    </w:p>
    <w:p>
      <w:pPr>
        <w:widowControl w:val="false"/>
        <w:spacing w:before="120" w:after="120" w:line="276"/>
        <w:ind w:right="0" w:left="360" w:hanging="360"/>
        <w:jc w:val="both"/>
        <w:rPr>
          <w:rFonts w:ascii="Arial" w:hAnsi="Arial" w:cs="Arial" w:eastAsia="Arial"/>
          <w:color w:val="00000A"/>
          <w:spacing w:val="0"/>
          <w:position w:val="0"/>
          <w:sz w:val="20"/>
          <w:shd w:fill="auto" w:val="clear"/>
        </w:rPr>
      </w:pPr>
      <w:r>
        <w:rPr>
          <w:rFonts w:ascii="Arial" w:hAnsi="Arial" w:cs="Arial" w:eastAsia="Arial"/>
          <w:b/>
          <w:color w:val="auto"/>
          <w:spacing w:val="0"/>
          <w:position w:val="0"/>
          <w:sz w:val="20"/>
          <w:shd w:fill="auto" w:val="clear"/>
        </w:rPr>
        <w:t xml:space="preserve">25. DOS RECURSOS ORÇAMENTÁRIOS.</w:t>
      </w:r>
    </w:p>
    <w:p>
      <w:pPr>
        <w:widowControl w:val="false"/>
        <w:spacing w:before="120" w:after="120" w:line="276"/>
        <w:ind w:right="0" w:left="1134" w:firstLine="0"/>
        <w:jc w:val="both"/>
        <w:rPr>
          <w:rFonts w:ascii="Arial" w:hAnsi="Arial" w:cs="Arial" w:eastAsia="Arial"/>
          <w:color w:val="00000A"/>
          <w:spacing w:val="0"/>
          <w:position w:val="0"/>
          <w:sz w:val="20"/>
          <w:shd w:fill="auto" w:val="clear"/>
        </w:rPr>
      </w:pPr>
      <w:r>
        <w:rPr>
          <w:rFonts w:ascii="Arial" w:hAnsi="Arial" w:cs="Arial" w:eastAsia="Arial"/>
          <w:color w:val="auto"/>
          <w:spacing w:val="0"/>
          <w:position w:val="0"/>
          <w:sz w:val="20"/>
          <w:shd w:fill="auto" w:val="clear"/>
        </w:rPr>
        <w:t xml:space="preserve">Gestão/Unidade: 001</w:t>
      </w:r>
    </w:p>
    <w:p>
      <w:pPr>
        <w:widowControl w:val="false"/>
        <w:spacing w:before="120" w:after="120" w:line="276"/>
        <w:ind w:right="0" w:left="1134" w:firstLine="0"/>
        <w:jc w:val="both"/>
        <w:rPr>
          <w:rFonts w:ascii="Arial" w:hAnsi="Arial" w:cs="Arial" w:eastAsia="Arial"/>
          <w:color w:val="00000A"/>
          <w:spacing w:val="0"/>
          <w:position w:val="0"/>
          <w:sz w:val="20"/>
          <w:shd w:fill="auto" w:val="clear"/>
        </w:rPr>
      </w:pPr>
      <w:r>
        <w:rPr>
          <w:rFonts w:ascii="Arial" w:hAnsi="Arial" w:cs="Arial" w:eastAsia="Arial"/>
          <w:color w:val="auto"/>
          <w:spacing w:val="0"/>
          <w:position w:val="0"/>
          <w:sz w:val="20"/>
          <w:shd w:fill="auto" w:val="clear"/>
        </w:rPr>
        <w:t xml:space="preserve">Fonte: X200MN10161</w:t>
      </w:r>
    </w:p>
    <w:p>
      <w:pPr>
        <w:widowControl w:val="false"/>
        <w:spacing w:before="120" w:after="120" w:line="276"/>
        <w:ind w:right="0" w:left="1134" w:firstLine="0"/>
        <w:jc w:val="both"/>
        <w:rPr>
          <w:rFonts w:ascii="Arial" w:hAnsi="Arial" w:cs="Arial" w:eastAsia="Arial"/>
          <w:color w:val="00000A"/>
          <w:spacing w:val="0"/>
          <w:position w:val="0"/>
          <w:sz w:val="20"/>
          <w:shd w:fill="auto" w:val="clear"/>
        </w:rPr>
      </w:pPr>
      <w:r>
        <w:rPr>
          <w:rFonts w:ascii="Arial" w:hAnsi="Arial" w:cs="Arial" w:eastAsia="Arial"/>
          <w:b/>
          <w:color w:val="auto"/>
          <w:spacing w:val="0"/>
          <w:position w:val="0"/>
          <w:sz w:val="20"/>
          <w:shd w:fill="auto" w:val="clear"/>
        </w:rPr>
        <w:t xml:space="preserve">Natureza de Despesa: 339039  </w:t>
      </w:r>
    </w:p>
    <w:p>
      <w:pPr>
        <w:widowControl w:val="false"/>
        <w:spacing w:before="120" w:after="120" w:line="276"/>
        <w:ind w:right="0" w:left="425" w:firstLine="0"/>
        <w:jc w:val="both"/>
        <w:rPr>
          <w:rFonts w:ascii="Arial" w:hAnsi="Arial" w:cs="Arial" w:eastAsia="Arial"/>
          <w:color w:val="00000A"/>
          <w:spacing w:val="0"/>
          <w:position w:val="0"/>
          <w:sz w:val="20"/>
          <w:shd w:fill="auto" w:val="clear"/>
        </w:rPr>
      </w:pPr>
    </w:p>
    <w:p>
      <w:pPr>
        <w:widowControl w:val="false"/>
        <w:spacing w:before="120" w:after="120" w:line="276"/>
        <w:ind w:right="0" w:left="425" w:firstLine="0"/>
        <w:jc w:val="both"/>
        <w:rPr>
          <w:rFonts w:ascii="Arial" w:hAnsi="Arial" w:cs="Arial" w:eastAsia="Arial"/>
          <w:color w:val="00000A"/>
          <w:spacing w:val="0"/>
          <w:position w:val="0"/>
          <w:sz w:val="20"/>
          <w:shd w:fill="auto" w:val="clear"/>
        </w:rPr>
      </w:pPr>
    </w:p>
    <w:p>
      <w:pPr>
        <w:widowControl w:val="false"/>
        <w:tabs>
          <w:tab w:val="left" w:pos="2010" w:leader="none"/>
        </w:tabs>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_________________________________________</w:t>
      </w:r>
    </w:p>
    <w:p>
      <w:pPr>
        <w:widowControl w:val="false"/>
        <w:tabs>
          <w:tab w:val="left" w:pos="2010" w:leader="none"/>
        </w:tabs>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ALEXANDRE DA SILVA </w:t>
      </w:r>
      <w:r>
        <w:rPr>
          <w:rFonts w:ascii="Arial" w:hAnsi="Arial" w:cs="Arial" w:eastAsia="Arial"/>
          <w:b/>
          <w:color w:val="000000"/>
          <w:spacing w:val="0"/>
          <w:position w:val="0"/>
          <w:sz w:val="20"/>
          <w:shd w:fill="auto" w:val="clear"/>
        </w:rPr>
        <w:t xml:space="preserve">CLEMENTE</w:t>
      </w:r>
    </w:p>
    <w:p>
      <w:pPr>
        <w:widowControl w:val="false"/>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Capitão-Tenente (AFN)</w:t>
      </w:r>
    </w:p>
    <w:p>
      <w:pPr>
        <w:widowControl w:val="false"/>
        <w:spacing w:before="0" w:after="360" w:line="240"/>
        <w:ind w:right="0" w:left="0" w:firstLine="0"/>
        <w:jc w:val="center"/>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Encarregado da Divisão de Transportes</w:t>
      </w:r>
    </w:p>
    <w:p>
      <w:pPr>
        <w:widowControl w:val="false"/>
        <w:spacing w:before="0" w:after="360" w:line="240"/>
        <w:ind w:right="0" w:left="0" w:firstLine="0"/>
        <w:jc w:val="right"/>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 Rio de Janeiro, ____ de ______________ de 2020.</w:t>
      </w:r>
    </w:p>
    <w:p>
      <w:pPr>
        <w:widowControl w:val="false"/>
        <w:spacing w:before="0" w:after="360" w:line="240"/>
        <w:ind w:right="0" w:left="0" w:firstLine="0"/>
        <w:jc w:val="right"/>
        <w:rPr>
          <w:rFonts w:ascii="Arial" w:hAnsi="Arial" w:cs="Arial" w:eastAsia="Arial"/>
          <w:color w:val="000000"/>
          <w:spacing w:val="0"/>
          <w:position w:val="0"/>
          <w:sz w:val="20"/>
          <w:shd w:fill="auto" w:val="clear"/>
        </w:rPr>
      </w:pPr>
    </w:p>
    <w:p>
      <w:pPr>
        <w:widowControl w:val="false"/>
        <w:tabs>
          <w:tab w:val="left" w:pos="2010" w:leader="none"/>
        </w:tabs>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_________________________________</w:t>
      </w:r>
    </w:p>
    <w:p>
      <w:pPr>
        <w:widowControl w:val="false"/>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4"/>
          <w:shd w:fill="auto" w:val="clear"/>
        </w:rPr>
        <w:t xml:space="preserve">CHRISTIAN ALEXANDER </w:t>
      </w:r>
      <w:r>
        <w:rPr>
          <w:rFonts w:ascii="Arial" w:hAnsi="Arial" w:cs="Arial" w:eastAsia="Arial"/>
          <w:b/>
          <w:color w:val="000000"/>
          <w:spacing w:val="0"/>
          <w:position w:val="0"/>
          <w:sz w:val="24"/>
          <w:shd w:fill="auto" w:val="clear"/>
        </w:rPr>
        <w:t xml:space="preserve">SHORT</w:t>
      </w:r>
    </w:p>
    <w:p>
      <w:pPr>
        <w:widowControl w:val="false"/>
        <w:spacing w:before="0" w:after="0" w:line="240"/>
        <w:ind w:right="0" w:left="0" w:firstLine="0"/>
        <w:jc w:val="center"/>
        <w:rPr>
          <w:rFonts w:ascii="Arial" w:hAnsi="Arial" w:cs="Arial" w:eastAsia="Arial"/>
          <w:color w:val="000000"/>
          <w:spacing w:val="0"/>
          <w:position w:val="0"/>
          <w:sz w:val="20"/>
          <w:shd w:fill="auto" w:val="clear"/>
        </w:rPr>
      </w:pPr>
      <w:r>
        <w:rPr>
          <w:rFonts w:ascii="Arial" w:hAnsi="Arial" w:cs="Arial" w:eastAsia="Arial"/>
          <w:color w:val="000000"/>
          <w:spacing w:val="0"/>
          <w:position w:val="0"/>
          <w:sz w:val="20"/>
          <w:shd w:fill="auto" w:val="clear"/>
        </w:rPr>
        <w:t xml:space="preserve">Capitão de Mar e Guerra (IM)</w:t>
      </w:r>
    </w:p>
    <w:p>
      <w:pPr>
        <w:widowControl w:val="false"/>
        <w:spacing w:before="0" w:after="0" w:line="240"/>
        <w:ind w:right="0" w:left="0" w:firstLine="0"/>
        <w:jc w:val="center"/>
        <w:rPr>
          <w:rFonts w:ascii="Arial" w:hAnsi="Arial" w:cs="Arial" w:eastAsia="Arial"/>
          <w:color w:val="00000A"/>
          <w:spacing w:val="0"/>
          <w:position w:val="0"/>
          <w:sz w:val="20"/>
          <w:shd w:fill="auto" w:val="clear"/>
        </w:rPr>
      </w:pPr>
      <w:r>
        <w:rPr>
          <w:rFonts w:ascii="Arial" w:hAnsi="Arial" w:cs="Arial" w:eastAsia="Arial"/>
          <w:color w:val="000000"/>
          <w:spacing w:val="0"/>
          <w:position w:val="0"/>
          <w:sz w:val="20"/>
          <w:shd w:fill="auto" w:val="clear"/>
        </w:rPr>
        <w:t xml:space="preserve">Chefe-geral dos Serviços</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3">
    <w:abstractNumId w:val="6"/>
  </w:num>
  <w:num w:numId="333">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